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134" w:rsidRPr="00235216" w:rsidRDefault="00930BFB" w:rsidP="00930BFB">
      <w:pPr>
        <w:pStyle w:val="Nessunaspaziatura"/>
        <w:rPr>
          <w:b/>
          <w:sz w:val="24"/>
          <w:szCs w:val="24"/>
        </w:rPr>
      </w:pPr>
      <w:bookmarkStart w:id="0" w:name="_GoBack"/>
      <w:bookmarkEnd w:id="0"/>
      <w:r w:rsidRPr="00235216">
        <w:rPr>
          <w:b/>
          <w:sz w:val="24"/>
          <w:szCs w:val="24"/>
        </w:rPr>
        <w:t>Karl L</w:t>
      </w:r>
      <w:r w:rsidRPr="00235216">
        <w:rPr>
          <w:rFonts w:cs="Times New Roman"/>
          <w:b/>
          <w:sz w:val="24"/>
          <w:szCs w:val="24"/>
        </w:rPr>
        <w:t>ӧ</w:t>
      </w:r>
      <w:r w:rsidRPr="00235216">
        <w:rPr>
          <w:b/>
          <w:sz w:val="24"/>
          <w:szCs w:val="24"/>
        </w:rPr>
        <w:t>with:</w:t>
      </w:r>
    </w:p>
    <w:p w:rsidR="00930BFB" w:rsidRPr="00235216" w:rsidRDefault="00930BFB" w:rsidP="00930BFB">
      <w:pPr>
        <w:pStyle w:val="Nessunaspaziatura"/>
        <w:rPr>
          <w:b/>
          <w:sz w:val="24"/>
          <w:szCs w:val="24"/>
        </w:rPr>
      </w:pPr>
      <w:r w:rsidRPr="00235216">
        <w:rPr>
          <w:b/>
          <w:sz w:val="24"/>
          <w:szCs w:val="24"/>
        </w:rPr>
        <w:t>Il nichilismo europeo. Considerazione sugli antefatti spirituali della guerra europea.</w:t>
      </w:r>
    </w:p>
    <w:p w:rsidR="00B84E3E" w:rsidRDefault="00B84E3E" w:rsidP="00930BFB">
      <w:pPr>
        <w:pStyle w:val="Nessunaspaziatura"/>
        <w:rPr>
          <w:b/>
          <w:sz w:val="24"/>
          <w:szCs w:val="24"/>
        </w:rPr>
      </w:pPr>
    </w:p>
    <w:p w:rsidR="00B84E3E" w:rsidRDefault="00B84E3E" w:rsidP="00930BFB">
      <w:pPr>
        <w:pStyle w:val="Nessunaspaziatura"/>
        <w:rPr>
          <w:b/>
          <w:sz w:val="24"/>
          <w:szCs w:val="24"/>
        </w:rPr>
      </w:pPr>
      <w:r>
        <w:rPr>
          <w:b/>
          <w:sz w:val="24"/>
          <w:szCs w:val="24"/>
        </w:rPr>
        <w:t>Seconda parte</w:t>
      </w:r>
    </w:p>
    <w:p w:rsidR="00930BFB" w:rsidRPr="00235216" w:rsidRDefault="00930BFB" w:rsidP="00930BFB">
      <w:pPr>
        <w:pStyle w:val="Nessunaspaziatura"/>
        <w:rPr>
          <w:b/>
          <w:sz w:val="24"/>
          <w:szCs w:val="24"/>
        </w:rPr>
      </w:pPr>
      <w:r w:rsidRPr="00235216">
        <w:rPr>
          <w:b/>
          <w:sz w:val="24"/>
          <w:szCs w:val="24"/>
        </w:rPr>
        <w:t>Capitolo secondo</w:t>
      </w:r>
    </w:p>
    <w:p w:rsidR="00930BFB" w:rsidRPr="00235216" w:rsidRDefault="00930BFB" w:rsidP="00930BFB">
      <w:pPr>
        <w:pStyle w:val="Nessunaspaziatura"/>
        <w:rPr>
          <w:b/>
          <w:sz w:val="24"/>
          <w:szCs w:val="24"/>
        </w:rPr>
      </w:pPr>
      <w:r w:rsidRPr="00235216">
        <w:rPr>
          <w:b/>
          <w:sz w:val="24"/>
          <w:szCs w:val="24"/>
        </w:rPr>
        <w:t>“L’orizzonte politico dell’ontologia esistenziale di Heidegger”</w:t>
      </w:r>
    </w:p>
    <w:p w:rsidR="00930BFB" w:rsidRDefault="00930BFB" w:rsidP="00930BFB">
      <w:pPr>
        <w:pStyle w:val="Nessunaspaziatura"/>
      </w:pPr>
    </w:p>
    <w:p w:rsidR="00235216" w:rsidRDefault="00930BFB" w:rsidP="00EC6876">
      <w:pPr>
        <w:pStyle w:val="Nessunaspaziatura"/>
        <w:jc w:val="both"/>
        <w:rPr>
          <w:rFonts w:ascii="Times New Roman" w:hAnsi="Times New Roman" w:cs="Times New Roman"/>
        </w:rPr>
      </w:pPr>
      <w:r w:rsidRPr="002D61D4">
        <w:rPr>
          <w:rFonts w:ascii="Times New Roman" w:hAnsi="Times New Roman" w:cs="Times New Roman"/>
        </w:rPr>
        <w:t>Riconoscendo in Hegel colui che ha trattenuto il nichilismo pensandolo all’</w:t>
      </w:r>
      <w:r w:rsidR="005E6F8A" w:rsidRPr="002D61D4">
        <w:rPr>
          <w:rFonts w:ascii="Times New Roman" w:hAnsi="Times New Roman" w:cs="Times New Roman"/>
        </w:rPr>
        <w:t xml:space="preserve">interno dello Spirito e leggendo nelle figure di </w:t>
      </w:r>
      <w:r w:rsidRPr="002D61D4">
        <w:rPr>
          <w:rFonts w:ascii="Times New Roman" w:hAnsi="Times New Roman" w:cs="Times New Roman"/>
        </w:rPr>
        <w:t>Marx e Kierkegaard coloro che hanno realizzato</w:t>
      </w:r>
      <w:r w:rsidR="005E6F8A" w:rsidRPr="002D61D4">
        <w:rPr>
          <w:rFonts w:ascii="Times New Roman" w:hAnsi="Times New Roman" w:cs="Times New Roman"/>
        </w:rPr>
        <w:t xml:space="preserve"> nella prassi</w:t>
      </w:r>
      <w:r w:rsidR="00EC6876" w:rsidRPr="002D61D4">
        <w:rPr>
          <w:rFonts w:ascii="Times New Roman" w:hAnsi="Times New Roman" w:cs="Times New Roman"/>
        </w:rPr>
        <w:t xml:space="preserve"> la filosofia tede</w:t>
      </w:r>
      <w:r w:rsidR="005E6F8A" w:rsidRPr="002D61D4">
        <w:rPr>
          <w:rFonts w:ascii="Times New Roman" w:hAnsi="Times New Roman" w:cs="Times New Roman"/>
        </w:rPr>
        <w:t xml:space="preserve">sco-hegeliana, Lӧwith attraverso il nichilismo attivo e conquistatore di Nietzsche ha preparato la strada alla trattazione della filosofia politica di Heidegger, ovvero alla piena realizzazione del nichilismo europeo. Con Nietzsche </w:t>
      </w:r>
      <w:r w:rsidR="00EC6876" w:rsidRPr="002D61D4">
        <w:rPr>
          <w:rFonts w:ascii="Times New Roman" w:hAnsi="Times New Roman" w:cs="Times New Roman"/>
        </w:rPr>
        <w:t>il corso della</w:t>
      </w:r>
      <w:r w:rsidR="005E6F8A" w:rsidRPr="002D61D4">
        <w:rPr>
          <w:rFonts w:ascii="Times New Roman" w:hAnsi="Times New Roman" w:cs="Times New Roman"/>
        </w:rPr>
        <w:t xml:space="preserve"> filosofia accademica aveva perso</w:t>
      </w:r>
      <w:r w:rsidR="00EC6876" w:rsidRPr="002D61D4">
        <w:rPr>
          <w:rFonts w:ascii="Times New Roman" w:hAnsi="Times New Roman" w:cs="Times New Roman"/>
        </w:rPr>
        <w:t xml:space="preserve"> di significato</w:t>
      </w:r>
      <w:r w:rsidR="00BE0BA2" w:rsidRPr="002D61D4">
        <w:rPr>
          <w:rFonts w:ascii="Times New Roman" w:hAnsi="Times New Roman" w:cs="Times New Roman"/>
        </w:rPr>
        <w:t xml:space="preserve"> consegnandosi alla prassi. Questo destino della filosofia trovò un nuovo impulso in Heidegger, </w:t>
      </w:r>
      <w:r w:rsidR="007F52B9" w:rsidRPr="002D61D4">
        <w:rPr>
          <w:rFonts w:ascii="Times New Roman" w:hAnsi="Times New Roman" w:cs="Times New Roman"/>
        </w:rPr>
        <w:t>il quale</w:t>
      </w:r>
      <w:r w:rsidR="00BE0BA2" w:rsidRPr="002D61D4">
        <w:rPr>
          <w:rFonts w:ascii="Times New Roman" w:hAnsi="Times New Roman" w:cs="Times New Roman"/>
        </w:rPr>
        <w:t>, prendendo</w:t>
      </w:r>
      <w:r w:rsidR="007F52B9" w:rsidRPr="002D61D4">
        <w:rPr>
          <w:rFonts w:ascii="Times New Roman" w:hAnsi="Times New Roman" w:cs="Times New Roman"/>
        </w:rPr>
        <w:t xml:space="preserve"> sul seri</w:t>
      </w:r>
      <w:r w:rsidR="00BE0BA2" w:rsidRPr="002D61D4">
        <w:rPr>
          <w:rFonts w:ascii="Times New Roman" w:hAnsi="Times New Roman" w:cs="Times New Roman"/>
        </w:rPr>
        <w:t>o lo storicismo, arrivò a</w:t>
      </w:r>
      <w:r w:rsidR="007F52B9" w:rsidRPr="002D61D4">
        <w:rPr>
          <w:rFonts w:ascii="Times New Roman" w:hAnsi="Times New Roman" w:cs="Times New Roman"/>
        </w:rPr>
        <w:t xml:space="preserve"> leggere l’esserci umano non semplicemente come colui che ha una storia, ma essenzialmente come colui che è la storia stessa</w:t>
      </w:r>
      <w:r w:rsidR="00BE0BA2" w:rsidRPr="002D61D4">
        <w:rPr>
          <w:rFonts w:ascii="Times New Roman" w:hAnsi="Times New Roman" w:cs="Times New Roman"/>
        </w:rPr>
        <w:t>, e dunque finito o temporale.</w:t>
      </w:r>
      <w:r w:rsidR="00563088" w:rsidRPr="002D61D4">
        <w:rPr>
          <w:rFonts w:ascii="Times New Roman" w:hAnsi="Times New Roman" w:cs="Times New Roman"/>
        </w:rPr>
        <w:t xml:space="preserve"> Con questo legame al tempo e alla storicità è possibile spiegare la presa di posizione di Heidegger nei confronti della realtà storico-tedesca. </w:t>
      </w:r>
      <w:r w:rsidR="007F52B9" w:rsidRPr="002D61D4">
        <w:rPr>
          <w:rFonts w:ascii="Times New Roman" w:hAnsi="Times New Roman" w:cs="Times New Roman"/>
        </w:rPr>
        <w:t xml:space="preserve"> Lӧwith parla di </w:t>
      </w:r>
      <w:r w:rsidR="00563088" w:rsidRPr="002D61D4">
        <w:rPr>
          <w:rFonts w:ascii="Times New Roman" w:hAnsi="Times New Roman" w:cs="Times New Roman"/>
        </w:rPr>
        <w:t xml:space="preserve">filosofia dello </w:t>
      </w:r>
      <w:r w:rsidR="007F52B9" w:rsidRPr="002D61D4">
        <w:rPr>
          <w:rFonts w:ascii="Times New Roman" w:hAnsi="Times New Roman" w:cs="Times New Roman"/>
        </w:rPr>
        <w:t>storicismo assoluto e quindi di uno sprofondare dello Spirito nell’</w:t>
      </w:r>
      <w:r w:rsidR="00563088" w:rsidRPr="002D61D4">
        <w:rPr>
          <w:rFonts w:ascii="Times New Roman" w:hAnsi="Times New Roman" w:cs="Times New Roman"/>
        </w:rPr>
        <w:t>attimo poichè in Heidegger</w:t>
      </w:r>
      <w:r w:rsidR="007F52B9" w:rsidRPr="002D61D4">
        <w:rPr>
          <w:rFonts w:ascii="Times New Roman" w:hAnsi="Times New Roman" w:cs="Times New Roman"/>
        </w:rPr>
        <w:t xml:space="preserve"> l’esistenza </w:t>
      </w:r>
      <w:r w:rsidR="00563088" w:rsidRPr="002D61D4">
        <w:rPr>
          <w:rFonts w:ascii="Times New Roman" w:hAnsi="Times New Roman" w:cs="Times New Roman"/>
        </w:rPr>
        <w:t xml:space="preserve">è </w:t>
      </w:r>
      <w:r w:rsidR="007F52B9" w:rsidRPr="002D61D4">
        <w:rPr>
          <w:rFonts w:ascii="Times New Roman" w:hAnsi="Times New Roman" w:cs="Times New Roman"/>
        </w:rPr>
        <w:t>legata a</w:t>
      </w:r>
      <w:r w:rsidR="006C4787">
        <w:rPr>
          <w:rFonts w:ascii="Times New Roman" w:hAnsi="Times New Roman" w:cs="Times New Roman"/>
        </w:rPr>
        <w:t>l piano della fatticità storica, all’attimo presente.</w:t>
      </w:r>
      <w:r w:rsidR="00563088" w:rsidRPr="002D61D4">
        <w:rPr>
          <w:rFonts w:ascii="Times New Roman" w:hAnsi="Times New Roman" w:cs="Times New Roman"/>
        </w:rPr>
        <w:t xml:space="preserve"> Questa visione </w:t>
      </w:r>
      <w:r w:rsidR="007F52B9" w:rsidRPr="002D61D4">
        <w:rPr>
          <w:rFonts w:ascii="Times New Roman" w:hAnsi="Times New Roman" w:cs="Times New Roman"/>
        </w:rPr>
        <w:t>però comporta la rinuncia a considerare la continuità storica, la riduzione ai minimi termini dell’</w:t>
      </w:r>
      <w:r w:rsidR="006D0FE2" w:rsidRPr="002D61D4">
        <w:rPr>
          <w:rFonts w:ascii="Times New Roman" w:hAnsi="Times New Roman" w:cs="Times New Roman"/>
        </w:rPr>
        <w:t xml:space="preserve">esistenza e </w:t>
      </w:r>
      <w:r w:rsidR="007F52B9" w:rsidRPr="002D61D4">
        <w:rPr>
          <w:rFonts w:ascii="Times New Roman" w:hAnsi="Times New Roman" w:cs="Times New Roman"/>
        </w:rPr>
        <w:t>la soppressione di ogni responsabilità soggettiva</w:t>
      </w:r>
      <w:r w:rsidR="006D0FE2" w:rsidRPr="002D61D4">
        <w:rPr>
          <w:rFonts w:ascii="Times New Roman" w:hAnsi="Times New Roman" w:cs="Times New Roman"/>
        </w:rPr>
        <w:t xml:space="preserve">. </w:t>
      </w:r>
    </w:p>
    <w:p w:rsidR="006C4787" w:rsidRDefault="006D0FE2" w:rsidP="00EC6876">
      <w:pPr>
        <w:pStyle w:val="Nessunaspaziatura"/>
        <w:jc w:val="both"/>
        <w:rPr>
          <w:rFonts w:ascii="Times New Roman" w:hAnsi="Times New Roman" w:cs="Times New Roman"/>
        </w:rPr>
      </w:pPr>
      <w:r w:rsidRPr="002D61D4">
        <w:rPr>
          <w:rFonts w:ascii="Times New Roman" w:hAnsi="Times New Roman" w:cs="Times New Roman"/>
        </w:rPr>
        <w:t xml:space="preserve">La filosofia di Heidegger è essenzialmente </w:t>
      </w:r>
      <w:r w:rsidR="007F52B9" w:rsidRPr="002D61D4">
        <w:rPr>
          <w:rFonts w:ascii="Times New Roman" w:hAnsi="Times New Roman" w:cs="Times New Roman"/>
        </w:rPr>
        <w:t>distruzione di ogni t</w:t>
      </w:r>
      <w:r w:rsidR="00563088" w:rsidRPr="002D61D4">
        <w:rPr>
          <w:rFonts w:ascii="Times New Roman" w:hAnsi="Times New Roman" w:cs="Times New Roman"/>
        </w:rPr>
        <w:t>radizione preesistente, e per questo</w:t>
      </w:r>
      <w:r w:rsidR="007F52B9" w:rsidRPr="002D61D4">
        <w:rPr>
          <w:rFonts w:ascii="Times New Roman" w:hAnsi="Times New Roman" w:cs="Times New Roman"/>
        </w:rPr>
        <w:t xml:space="preserve"> perfettamente nichilistica. Infatti la filosofia e l’esistenza in Heidegger manifestano </w:t>
      </w:r>
      <w:r w:rsidR="006C4787">
        <w:rPr>
          <w:rFonts w:ascii="Times New Roman" w:hAnsi="Times New Roman" w:cs="Times New Roman"/>
        </w:rPr>
        <w:t>“</w:t>
      </w:r>
      <w:r w:rsidR="007F52B9" w:rsidRPr="002D61D4">
        <w:rPr>
          <w:rFonts w:ascii="Times New Roman" w:hAnsi="Times New Roman" w:cs="Times New Roman"/>
        </w:rPr>
        <w:t>il proprio essere nulla, il proprio essere costituite sul nulla, a partire dal nulla, e in vista del nulla.</w:t>
      </w:r>
      <w:r w:rsidR="006C4787">
        <w:rPr>
          <w:rFonts w:ascii="Times New Roman" w:hAnsi="Times New Roman" w:cs="Times New Roman"/>
        </w:rPr>
        <w:t>”</w:t>
      </w:r>
      <w:r w:rsidR="00355429" w:rsidRPr="002D61D4">
        <w:rPr>
          <w:rFonts w:ascii="Times New Roman" w:hAnsi="Times New Roman" w:cs="Times New Roman"/>
        </w:rPr>
        <w:t xml:space="preserve"> </w:t>
      </w:r>
      <w:r w:rsidRPr="002D61D4">
        <w:rPr>
          <w:rFonts w:ascii="Times New Roman" w:hAnsi="Times New Roman" w:cs="Times New Roman"/>
        </w:rPr>
        <w:t>Ne risulta una filosofia completamente immersa nelle cose, un attivismo privo di teoria, che in realtà è passività proprio per l’indeterminatezza dei contenuti.</w:t>
      </w:r>
      <w:r w:rsidR="001E05F5" w:rsidRPr="002D61D4">
        <w:rPr>
          <w:rFonts w:ascii="Times New Roman" w:hAnsi="Times New Roman" w:cs="Times New Roman"/>
        </w:rPr>
        <w:t xml:space="preserve"> È proprio ques</w:t>
      </w:r>
      <w:r w:rsidR="00A71FE2" w:rsidRPr="002D61D4">
        <w:rPr>
          <w:rFonts w:ascii="Times New Roman" w:hAnsi="Times New Roman" w:cs="Times New Roman"/>
        </w:rPr>
        <w:t>ta indeterminatezza che permette</w:t>
      </w:r>
      <w:r w:rsidR="001E05F5" w:rsidRPr="002D61D4">
        <w:rPr>
          <w:rFonts w:ascii="Times New Roman" w:hAnsi="Times New Roman" w:cs="Times New Roman"/>
        </w:rPr>
        <w:t xml:space="preserve"> a Lӧwith di sostenere la sostanziale omogeneità di Heidegger con l’atmosfera e la mentalità nazionalsocialista</w:t>
      </w:r>
      <w:r w:rsidR="00BC677B" w:rsidRPr="002D61D4">
        <w:rPr>
          <w:rFonts w:ascii="Times New Roman" w:hAnsi="Times New Roman" w:cs="Times New Roman"/>
        </w:rPr>
        <w:t>: i</w:t>
      </w:r>
      <w:r w:rsidR="00A71FE2" w:rsidRPr="002D61D4">
        <w:rPr>
          <w:rFonts w:ascii="Times New Roman" w:hAnsi="Times New Roman" w:cs="Times New Roman"/>
        </w:rPr>
        <w:t>l proprio poter-essere di ciascuno nella limitazione della propria storica fatticità per Heid</w:t>
      </w:r>
      <w:r w:rsidR="00BC677B" w:rsidRPr="002D61D4">
        <w:rPr>
          <w:rFonts w:ascii="Times New Roman" w:hAnsi="Times New Roman" w:cs="Times New Roman"/>
        </w:rPr>
        <w:t xml:space="preserve">egger era un dovere, un destino; ma trattandosi di un destino indeterminato, la decisione individuale, ovvero la decisione per il nulla, </w:t>
      </w:r>
      <w:r w:rsidR="004543B6" w:rsidRPr="002D61D4">
        <w:rPr>
          <w:rFonts w:ascii="Times New Roman" w:hAnsi="Times New Roman" w:cs="Times New Roman"/>
        </w:rPr>
        <w:t xml:space="preserve"> non fonda alcuna responsabilità soggettiva</w:t>
      </w:r>
      <w:r w:rsidR="00BC677B" w:rsidRPr="002D61D4">
        <w:rPr>
          <w:rFonts w:ascii="Times New Roman" w:hAnsi="Times New Roman" w:cs="Times New Roman"/>
        </w:rPr>
        <w:t xml:space="preserve"> andando quindi a ricalcare il nazismo nell’appello nichilistico all’azione irresponsabile. È qu</w:t>
      </w:r>
      <w:r w:rsidR="006C4787">
        <w:rPr>
          <w:rFonts w:ascii="Times New Roman" w:hAnsi="Times New Roman" w:cs="Times New Roman"/>
        </w:rPr>
        <w:t>i che si rivela per Lӧwith la</w:t>
      </w:r>
      <w:r w:rsidR="00BC677B" w:rsidRPr="002D61D4">
        <w:rPr>
          <w:rFonts w:ascii="Times New Roman" w:hAnsi="Times New Roman" w:cs="Times New Roman"/>
        </w:rPr>
        <w:t xml:space="preserve"> congruenza tra Heidegger e il nazismo.</w:t>
      </w:r>
      <w:r w:rsidR="005C44B0" w:rsidRPr="002D61D4">
        <w:rPr>
          <w:rFonts w:ascii="Times New Roman" w:hAnsi="Times New Roman" w:cs="Times New Roman"/>
        </w:rPr>
        <w:t xml:space="preserve"> Non è un caso infatti la</w:t>
      </w:r>
      <w:r w:rsidR="001E05F5" w:rsidRPr="002D61D4">
        <w:rPr>
          <w:rFonts w:ascii="Times New Roman" w:hAnsi="Times New Roman" w:cs="Times New Roman"/>
        </w:rPr>
        <w:t xml:space="preserve"> </w:t>
      </w:r>
      <w:r w:rsidR="00A71FE2" w:rsidRPr="002D61D4">
        <w:rPr>
          <w:rFonts w:ascii="Times New Roman" w:hAnsi="Times New Roman" w:cs="Times New Roman"/>
        </w:rPr>
        <w:t xml:space="preserve"> corrispondenza con il decisionismo politico di Carl Schmitt, dove il poter essere un tutto dell’esistenza propria di ciascuno viene trasferito alla totalità </w:t>
      </w:r>
      <w:r w:rsidR="005C44B0" w:rsidRPr="002D61D4">
        <w:rPr>
          <w:rFonts w:ascii="Times New Roman" w:hAnsi="Times New Roman" w:cs="Times New Roman"/>
        </w:rPr>
        <w:t xml:space="preserve">dello Stato proprio di ciascuno; e dunque un “decidere per se stessi” applicato al movimento generale dell’esistenza politica tedesca.  Questa affinità all’ideologia nazionalsocialista è ben espressa nell’articolo dai toni popolareschi </w:t>
      </w:r>
      <w:r w:rsidR="005C44B0" w:rsidRPr="002D61D4">
        <w:rPr>
          <w:rFonts w:ascii="Times New Roman" w:hAnsi="Times New Roman" w:cs="Times New Roman"/>
          <w:i/>
        </w:rPr>
        <w:t>“Perché  restiamo in provincia?”</w:t>
      </w:r>
      <w:r w:rsidR="005C44B0" w:rsidRPr="002D61D4">
        <w:rPr>
          <w:rFonts w:ascii="Times New Roman" w:hAnsi="Times New Roman" w:cs="Times New Roman"/>
        </w:rPr>
        <w:t xml:space="preserve"> pubblicato il 7 marzo 1934 sul giornale </w:t>
      </w:r>
      <w:r w:rsidR="005C44B0" w:rsidRPr="002D61D4">
        <w:rPr>
          <w:rFonts w:ascii="Times New Roman" w:hAnsi="Times New Roman" w:cs="Times New Roman"/>
          <w:i/>
        </w:rPr>
        <w:t>“Der Alemanne”</w:t>
      </w:r>
      <w:r w:rsidR="005C44B0" w:rsidRPr="002D61D4">
        <w:rPr>
          <w:rFonts w:ascii="Times New Roman" w:hAnsi="Times New Roman" w:cs="Times New Roman"/>
        </w:rPr>
        <w:t>, attraverso il quale Heidegger arriva a negare il principio, valido da Aristotele fino ad Hegel, per cui la contemplazione filosofica è l’attività umana più elevata perché libera dai bisogni immediati, per affermare invece la durezza del destino e il rigore del lavoro, che devono essere gli stessi per il contadino e per l’intellettuale.</w:t>
      </w:r>
      <w:r w:rsidR="006811A8" w:rsidRPr="002D61D4">
        <w:rPr>
          <w:rFonts w:ascii="Times New Roman" w:hAnsi="Times New Roman" w:cs="Times New Roman"/>
        </w:rPr>
        <w:t xml:space="preserve"> Questa sua negazione filosofica della filosofia stessa, unita alla miscela di nichilis</w:t>
      </w:r>
      <w:r w:rsidR="00A42F78" w:rsidRPr="002D61D4">
        <w:rPr>
          <w:rFonts w:ascii="Times New Roman" w:hAnsi="Times New Roman" w:cs="Times New Roman"/>
        </w:rPr>
        <w:t>m</w:t>
      </w:r>
      <w:r w:rsidR="006811A8" w:rsidRPr="002D61D4">
        <w:rPr>
          <w:rFonts w:ascii="Times New Roman" w:hAnsi="Times New Roman" w:cs="Times New Roman"/>
        </w:rPr>
        <w:t xml:space="preserve">o, attività e passività realizza la piena e perfetta coincidenza di teoria e prassi nel senso opposto a quello hegeliano: la negazione indeterminata si fa indeterminata apertura al Nulla, la spiritualizzazione della storia si fa piena e assoluta storicità dello Spirito. È da notare in questo senso il discorso </w:t>
      </w:r>
      <w:r w:rsidR="006811A8" w:rsidRPr="002D61D4">
        <w:rPr>
          <w:rFonts w:ascii="Times New Roman" w:hAnsi="Times New Roman" w:cs="Times New Roman"/>
          <w:i/>
        </w:rPr>
        <w:t>“L’autoaffermazione dell’università tedesca”</w:t>
      </w:r>
      <w:r w:rsidR="006811A8" w:rsidRPr="002D61D4">
        <w:rPr>
          <w:rFonts w:ascii="Times New Roman" w:hAnsi="Times New Roman" w:cs="Times New Roman"/>
        </w:rPr>
        <w:t xml:space="preserve"> tenuto da Heidegger in occasione dell’assunzione del rettorato di Friburgo</w:t>
      </w:r>
      <w:r w:rsidR="00A42F78" w:rsidRPr="002D61D4">
        <w:rPr>
          <w:rFonts w:ascii="Times New Roman" w:hAnsi="Times New Roman" w:cs="Times New Roman"/>
        </w:rPr>
        <w:t>, poiché gli ha permesso di immettere la filosofia dell’esistenza storica nel corso degli eventi tedeschi</w:t>
      </w:r>
      <w:r w:rsidR="003C015C" w:rsidRPr="002D61D4">
        <w:rPr>
          <w:rFonts w:ascii="Times New Roman" w:hAnsi="Times New Roman" w:cs="Times New Roman"/>
        </w:rPr>
        <w:t>: c</w:t>
      </w:r>
      <w:r w:rsidR="00A42F78" w:rsidRPr="002D61D4">
        <w:rPr>
          <w:rFonts w:ascii="Times New Roman" w:hAnsi="Times New Roman" w:cs="Times New Roman"/>
        </w:rPr>
        <w:t>on questo discorso il destino del popolo viene legato alle sorti delle università</w:t>
      </w:r>
      <w:r w:rsidR="00427E35" w:rsidRPr="002D61D4">
        <w:rPr>
          <w:rFonts w:ascii="Times New Roman" w:hAnsi="Times New Roman" w:cs="Times New Roman"/>
        </w:rPr>
        <w:t xml:space="preserve"> in quanto congiunti</w:t>
      </w:r>
      <w:r w:rsidR="003C015C" w:rsidRPr="002D61D4">
        <w:rPr>
          <w:rFonts w:ascii="Times New Roman" w:hAnsi="Times New Roman" w:cs="Times New Roman"/>
        </w:rPr>
        <w:t xml:space="preserve"> da</w:t>
      </w:r>
      <w:r w:rsidR="00427E35" w:rsidRPr="002D61D4">
        <w:rPr>
          <w:rFonts w:ascii="Times New Roman" w:hAnsi="Times New Roman" w:cs="Times New Roman"/>
        </w:rPr>
        <w:t xml:space="preserve"> un’</w:t>
      </w:r>
      <w:r w:rsidR="003C015C" w:rsidRPr="002D61D4">
        <w:rPr>
          <w:rFonts w:ascii="Times New Roman" w:hAnsi="Times New Roman" w:cs="Times New Roman"/>
        </w:rPr>
        <w:t>identica missione, dettata sempre dal destino che bisogna volere, e da un’unica volontà essenziale. In questo modo la volontà di essenza viene tacitamente equiparata alla volontà di potenza</w:t>
      </w:r>
      <w:r w:rsidR="00C57835" w:rsidRPr="002D61D4">
        <w:rPr>
          <w:rFonts w:ascii="Times New Roman" w:hAnsi="Times New Roman" w:cs="Times New Roman"/>
        </w:rPr>
        <w:t>, perché per l’atteggiamento nazionalsocialista essenziale è la volontà in quanto tale.</w:t>
      </w:r>
      <w:r w:rsidR="00427E35" w:rsidRPr="002D61D4">
        <w:rPr>
          <w:rFonts w:ascii="Times New Roman" w:hAnsi="Times New Roman" w:cs="Times New Roman"/>
        </w:rPr>
        <w:t xml:space="preserve"> È da notare come per Heidegger la comunità dei docenti e degli studenti fosse una comunità di lotta, intendendo per lotta un elemento essenziale poiché “dove non c’è lotta né dominio c’è decandenza”.</w:t>
      </w:r>
      <w:r w:rsidR="00E7739F" w:rsidRPr="002D61D4">
        <w:rPr>
          <w:rFonts w:ascii="Times New Roman" w:hAnsi="Times New Roman" w:cs="Times New Roman"/>
        </w:rPr>
        <w:t xml:space="preserve"> Ancora una volta emerge l’affinità con il nazionalsocialismo poiché termini politici di violenza e di decisionismo sono presenti anche nel vocabolario filosofico di Heidegger. </w:t>
      </w:r>
    </w:p>
    <w:p w:rsidR="00930BFB" w:rsidRPr="002D61D4" w:rsidRDefault="00E7739F" w:rsidP="00EC6876">
      <w:pPr>
        <w:pStyle w:val="Nessunaspaziatura"/>
        <w:jc w:val="both"/>
        <w:rPr>
          <w:rFonts w:ascii="Times New Roman" w:hAnsi="Times New Roman" w:cs="Times New Roman"/>
        </w:rPr>
      </w:pPr>
      <w:r w:rsidRPr="002D61D4">
        <w:rPr>
          <w:rFonts w:ascii="Times New Roman" w:hAnsi="Times New Roman" w:cs="Times New Roman"/>
        </w:rPr>
        <w:t xml:space="preserve">Su questo sfondo storico-politico, come evidenzia K. Barth in </w:t>
      </w:r>
      <w:r w:rsidRPr="002D61D4">
        <w:rPr>
          <w:rFonts w:ascii="Times New Roman" w:hAnsi="Times New Roman" w:cs="Times New Roman"/>
          <w:i/>
        </w:rPr>
        <w:t>“Esistenza teologica oggi”,</w:t>
      </w:r>
      <w:r w:rsidRPr="002D61D4">
        <w:rPr>
          <w:rFonts w:ascii="Times New Roman" w:hAnsi="Times New Roman" w:cs="Times New Roman"/>
        </w:rPr>
        <w:t xml:space="preserve"> la filosofia si sarebbe dovuta occupare non di essere e tempo ma dell’essere dell’</w:t>
      </w:r>
      <w:r w:rsidR="001754DE" w:rsidRPr="002D61D4">
        <w:rPr>
          <w:rFonts w:ascii="Times New Roman" w:hAnsi="Times New Roman" w:cs="Times New Roman"/>
        </w:rPr>
        <w:t>eternità:</w:t>
      </w:r>
      <w:r w:rsidRPr="002D61D4">
        <w:rPr>
          <w:rFonts w:ascii="Times New Roman" w:hAnsi="Times New Roman" w:cs="Times New Roman"/>
        </w:rPr>
        <w:t xml:space="preserve"> la filosofia heideggeriana ha come punto centrale il tempo a partire dal tempo, infatti Lӧwith la riconosce come “un pensiero  che resta all’interno della tradizione ontoteologica, pur opponendovisi, e all’interno della soggettività, pur </w:t>
      </w:r>
      <w:r w:rsidRPr="002D61D4">
        <w:rPr>
          <w:rFonts w:ascii="Times New Roman" w:hAnsi="Times New Roman" w:cs="Times New Roman"/>
        </w:rPr>
        <w:lastRenderedPageBreak/>
        <w:t>distruggendola.”</w:t>
      </w:r>
      <w:r w:rsidR="001754DE" w:rsidRPr="002D61D4">
        <w:rPr>
          <w:rFonts w:ascii="Times New Roman" w:hAnsi="Times New Roman" w:cs="Times New Roman"/>
        </w:rPr>
        <w:t xml:space="preserve"> Dunque la scelta all’impegno politico di Heidegger può esser letta nella presunzione e nell’ingenuità del filosofo, che crede di poter intervenire attivamente nelle svolte epocali del tempo, e nell’irresponsabilità dell’intellettuale, che crede di dover dare spiegazioni solo alla necessità del Destino. È in questa chiave che il “si” ad Hitler si identifica con il “si” all’essere autenticamente se stessi. Ma la filosofia di Heidegger non è obbligata al nazismo, anche se lo giustifica bene</w:t>
      </w:r>
      <w:r w:rsidR="000141F9" w:rsidRPr="002D61D4">
        <w:rPr>
          <w:rFonts w:ascii="Times New Roman" w:hAnsi="Times New Roman" w:cs="Times New Roman"/>
        </w:rPr>
        <w:t>. Fondamentalmente “non è Heidegger che ha male interpretato se stesso quando si è schierato con Hitler, ma, anzi, non hanno capito Heidegger coloro che non hanno compreso perché egli ha potuto farlo”. Il suo pensiero esibisce l’irrimediabile coappartenenza tra logos e violenza propria dell’Occidente, e la sua filosofia politica non è nata da una deviazione ma piuttosto dal principio di fatticità storica che fonda la sua concezione di esistenza. Ma il movente ultimo della volontà di rottura è quella coscienza della decadenza e del trapasso che chiamiamo Nichilismo europeo. Fondamentali sono le parole della conferenza su Hӧlderlin del 1936 dove parla del tempo presente come il t</w:t>
      </w:r>
      <w:r w:rsidR="00B138CC" w:rsidRPr="002D61D4">
        <w:rPr>
          <w:rFonts w:ascii="Times New Roman" w:hAnsi="Times New Roman" w:cs="Times New Roman"/>
        </w:rPr>
        <w:t>empo di due non: quello degli dé</w:t>
      </w:r>
      <w:r w:rsidR="000141F9" w:rsidRPr="002D61D4">
        <w:rPr>
          <w:rFonts w:ascii="Times New Roman" w:hAnsi="Times New Roman" w:cs="Times New Roman"/>
        </w:rPr>
        <w:t>i fuggiti che non ci sono più e quello del non-esserci-ancora del dio che verrà</w:t>
      </w:r>
      <w:r w:rsidR="00B138CC" w:rsidRPr="002D61D4">
        <w:rPr>
          <w:rFonts w:ascii="Times New Roman" w:hAnsi="Times New Roman" w:cs="Times New Roman"/>
        </w:rPr>
        <w:t>; evidenziando così la descrizione di un tempo ricco di penuria e indigenza. Emerge quindi che è Heidegger a portare a compimento il nichilismo attraverso la sua tesi di necessità del nazismo in una Germania ormai separata dalla comunità umana realizzata in Europa fin dall’Antica Roma; mentre Nietzsche, che apertamente aveva teorizzato il nich</w:t>
      </w:r>
      <w:r w:rsidR="006C4787">
        <w:rPr>
          <w:rFonts w:ascii="Times New Roman" w:hAnsi="Times New Roman" w:cs="Times New Roman"/>
        </w:rPr>
        <w:t>ilismo, solo indirettamente aveva aperto</w:t>
      </w:r>
      <w:r w:rsidR="00B138CC" w:rsidRPr="002D61D4">
        <w:rPr>
          <w:rFonts w:ascii="Times New Roman" w:hAnsi="Times New Roman" w:cs="Times New Roman"/>
        </w:rPr>
        <w:t xml:space="preserve"> la strada al Terzo Reich.</w:t>
      </w:r>
    </w:p>
    <w:p w:rsidR="00130C2F" w:rsidRPr="002D61D4" w:rsidRDefault="00130C2F" w:rsidP="00EC6876">
      <w:pPr>
        <w:pStyle w:val="Nessunaspaziatura"/>
        <w:jc w:val="both"/>
        <w:rPr>
          <w:rFonts w:ascii="Times New Roman" w:hAnsi="Times New Roman" w:cs="Times New Roman"/>
        </w:rPr>
      </w:pPr>
    </w:p>
    <w:p w:rsidR="00130C2F" w:rsidRDefault="00130C2F" w:rsidP="00EC6876">
      <w:pPr>
        <w:pStyle w:val="Nessunaspaziatura"/>
        <w:jc w:val="both"/>
        <w:rPr>
          <w:rFonts w:ascii="Times New Roman" w:hAnsi="Times New Roman" w:cs="Times New Roman"/>
          <w:sz w:val="20"/>
          <w:szCs w:val="20"/>
        </w:rPr>
      </w:pPr>
    </w:p>
    <w:p w:rsidR="00130C2F" w:rsidRPr="00235216" w:rsidRDefault="00130C2F" w:rsidP="00EC6876">
      <w:pPr>
        <w:pStyle w:val="Nessunaspaziatura"/>
        <w:jc w:val="both"/>
        <w:rPr>
          <w:rFonts w:cs="Times New Roman"/>
          <w:b/>
          <w:sz w:val="24"/>
          <w:szCs w:val="24"/>
        </w:rPr>
      </w:pPr>
      <w:r w:rsidRPr="00235216">
        <w:rPr>
          <w:rFonts w:cs="Times New Roman"/>
          <w:b/>
          <w:sz w:val="24"/>
          <w:szCs w:val="24"/>
        </w:rPr>
        <w:t>Capitolo terzo</w:t>
      </w:r>
    </w:p>
    <w:p w:rsidR="00130C2F" w:rsidRPr="00235216" w:rsidRDefault="00130C2F" w:rsidP="00EC6876">
      <w:pPr>
        <w:pStyle w:val="Nessunaspaziatura"/>
        <w:jc w:val="both"/>
        <w:rPr>
          <w:rFonts w:cs="Times New Roman"/>
          <w:b/>
          <w:sz w:val="24"/>
          <w:szCs w:val="24"/>
        </w:rPr>
      </w:pPr>
      <w:r w:rsidRPr="00235216">
        <w:rPr>
          <w:rFonts w:cs="Times New Roman"/>
          <w:b/>
          <w:sz w:val="24"/>
          <w:szCs w:val="24"/>
        </w:rPr>
        <w:t>“Germania: il Reich protestante”</w:t>
      </w:r>
    </w:p>
    <w:p w:rsidR="00130C2F" w:rsidRPr="002D61D4" w:rsidRDefault="00130C2F" w:rsidP="00EC6876">
      <w:pPr>
        <w:pStyle w:val="Nessunaspaziatura"/>
        <w:jc w:val="both"/>
        <w:rPr>
          <w:rFonts w:ascii="Times New Roman" w:hAnsi="Times New Roman" w:cs="Times New Roman"/>
        </w:rPr>
      </w:pPr>
      <w:r w:rsidRPr="002D61D4">
        <w:rPr>
          <w:rFonts w:ascii="Times New Roman" w:hAnsi="Times New Roman" w:cs="Times New Roman"/>
        </w:rPr>
        <w:t xml:space="preserve">In questo breve capitolo è presentata la riflessione di Dostoevskij tratta da </w:t>
      </w:r>
      <w:r w:rsidRPr="002D61D4">
        <w:rPr>
          <w:rFonts w:ascii="Times New Roman" w:hAnsi="Times New Roman" w:cs="Times New Roman"/>
          <w:i/>
        </w:rPr>
        <w:t>“Diario di uno scrittore”</w:t>
      </w:r>
      <w:r w:rsidRPr="002D61D4">
        <w:rPr>
          <w:rFonts w:ascii="Times New Roman" w:hAnsi="Times New Roman" w:cs="Times New Roman"/>
        </w:rPr>
        <w:t>, nella quale l’autore riconosce come cifra essenziale del comportamento e della mentalità tedeschi il Protestantesimo, non intendendolo esclusivamente nei termini di Lutero, ma come vera e propria protesta di sempre contro il mondo romano. Ovvero quella protesta all’idea dell’unione universale degli uomini da realizzare attraverso una monarchia universale. Progetto che crollò di fronte al Cristianesimo e al nuovo ideale dell’unione universale in Cristo. Da quel momento in poi ci furono continui cambiamenti fino alla Rivoluzione Francese che rappresentò l’ultima trasformazione della formula dell’antica Roma, la quale però non si realizzò e portò quindi alla disperazione. A quel punto ci si rivolse a tutti coloro che non erano stati inseriti nella nuova formula proclamata dalla Rivoluzione francese</w:t>
      </w:r>
      <w:r w:rsidR="004B5F80" w:rsidRPr="002D61D4">
        <w:rPr>
          <w:rFonts w:ascii="Times New Roman" w:hAnsi="Times New Roman" w:cs="Times New Roman"/>
        </w:rPr>
        <w:t>, arrivando ad una nuova parola, ovvero alla nuova necessità dell’unione universale degli uomini sulla base dell’eguaglianza universale, con la partecipazione di tutti e di ognuno all’uso dei beni di questo mondo, qualunque essi possano risultare. E questo era da ottenere con qualsiasi mezzo.</w:t>
      </w:r>
    </w:p>
    <w:p w:rsidR="004B5F80" w:rsidRPr="002D61D4" w:rsidRDefault="004B5F80" w:rsidP="00EC6876">
      <w:pPr>
        <w:pStyle w:val="Nessunaspaziatura"/>
        <w:jc w:val="both"/>
        <w:rPr>
          <w:rFonts w:ascii="Times New Roman" w:hAnsi="Times New Roman" w:cs="Times New Roman"/>
        </w:rPr>
      </w:pPr>
      <w:r w:rsidRPr="002D61D4">
        <w:rPr>
          <w:rFonts w:ascii="Times New Roman" w:hAnsi="Times New Roman" w:cs="Times New Roman"/>
        </w:rPr>
        <w:t>In tutto ciò la Germania non volle mai unirsi con l’estremo mondo occidentale, protestando il suo ideale e sentendosi in grado di presentare la Nuova Parola trascinando dietro di sé l’umanità. La sua protesta condusse ad una rottura di portata mondiale. Ci fu un indebolimento generale sia dello spirito della Germania sia dell’estremo mondo occidentale. In questo contesto nacque la necessità per la Germania di portare a termine la propria unità politica, completare la ricostruzione del proprio organismo politico e, soltanto dopo averlo ricostruito, affrontare il plurisecolare nemico (la Francia).</w:t>
      </w:r>
    </w:p>
    <w:p w:rsidR="004B5F80" w:rsidRPr="002D61D4" w:rsidRDefault="004B5F80" w:rsidP="00EC6876">
      <w:pPr>
        <w:pStyle w:val="Nessunaspaziatura"/>
        <w:jc w:val="both"/>
        <w:rPr>
          <w:rFonts w:ascii="Times New Roman" w:hAnsi="Times New Roman" w:cs="Times New Roman"/>
        </w:rPr>
      </w:pPr>
    </w:p>
    <w:p w:rsidR="00B138CC" w:rsidRPr="002D61D4" w:rsidRDefault="00B138CC" w:rsidP="00EC6876">
      <w:pPr>
        <w:pStyle w:val="Nessunaspaziatura"/>
        <w:jc w:val="both"/>
        <w:rPr>
          <w:rFonts w:cs="Times New Roman"/>
        </w:rPr>
      </w:pPr>
    </w:p>
    <w:p w:rsidR="004B5F80" w:rsidRPr="00235216" w:rsidRDefault="004B5F80" w:rsidP="00EC6876">
      <w:pPr>
        <w:pStyle w:val="Nessunaspaziatura"/>
        <w:jc w:val="both"/>
        <w:rPr>
          <w:rFonts w:cs="Times New Roman"/>
          <w:b/>
          <w:sz w:val="24"/>
          <w:szCs w:val="24"/>
        </w:rPr>
      </w:pPr>
      <w:r w:rsidRPr="00235216">
        <w:rPr>
          <w:rFonts w:cs="Times New Roman"/>
          <w:b/>
          <w:sz w:val="24"/>
          <w:szCs w:val="24"/>
        </w:rPr>
        <w:t>Postfazione per il lettore giapponese</w:t>
      </w:r>
    </w:p>
    <w:p w:rsidR="00CF779C" w:rsidRDefault="000C550F" w:rsidP="00EC6876">
      <w:pPr>
        <w:pStyle w:val="Nessunaspaziatura"/>
        <w:jc w:val="both"/>
        <w:rPr>
          <w:rFonts w:ascii="Times New Roman" w:hAnsi="Times New Roman" w:cs="Times New Roman"/>
        </w:rPr>
      </w:pPr>
      <w:r w:rsidRPr="002D61D4">
        <w:rPr>
          <w:rFonts w:ascii="Times New Roman" w:hAnsi="Times New Roman" w:cs="Times New Roman"/>
        </w:rPr>
        <w:t>La caratteristica che risalta subito agli occhi nel rapporto tra Giappone e Occidente è sicuramente quella di una rinuncia all’Europa, ovvero la rinuncia alla tutela spirituale europea, allo sfruttamento economico e all’ingerenza politica. Lӧwith sottolinea che quando i Giapponesi entrarono in contatto con noi, la nostra cultura era già in declino</w:t>
      </w:r>
      <w:r w:rsidR="00845B75" w:rsidRPr="002D61D4">
        <w:rPr>
          <w:rFonts w:ascii="Times New Roman" w:hAnsi="Times New Roman" w:cs="Times New Roman"/>
        </w:rPr>
        <w:t xml:space="preserve">. Infatti l’occidentalizzazione del Giappone ha coinciso con l’autocritica europea, la quale ha sicuramente influenzato il </w:t>
      </w:r>
      <w:r w:rsidR="00845B75" w:rsidRPr="002D61D4">
        <w:rPr>
          <w:rFonts w:ascii="Times New Roman" w:hAnsi="Times New Roman" w:cs="Times New Roman"/>
          <w:i/>
        </w:rPr>
        <w:t>che cosa</w:t>
      </w:r>
      <w:r w:rsidR="00845B75" w:rsidRPr="002D61D4">
        <w:rPr>
          <w:rFonts w:ascii="Times New Roman" w:hAnsi="Times New Roman" w:cs="Times New Roman"/>
        </w:rPr>
        <w:t xml:space="preserve"> il Giappone abbia appreso dall’</w:t>
      </w:r>
      <w:r w:rsidR="009E3F48" w:rsidRPr="002D61D4">
        <w:rPr>
          <w:rFonts w:ascii="Times New Roman" w:hAnsi="Times New Roman" w:cs="Times New Roman"/>
        </w:rPr>
        <w:t>Europa</w:t>
      </w:r>
      <w:r w:rsidR="00845B75" w:rsidRPr="002D61D4">
        <w:rPr>
          <w:rFonts w:ascii="Times New Roman" w:hAnsi="Times New Roman" w:cs="Times New Roman"/>
        </w:rPr>
        <w:t>: ha recepito innanzitutto la nostra civiltà materiale, quindi non lo Spirito europeo e la sua storia. Si è trattato cioè di un’appropriazione esteriore delle istituzioni, quindi di un qualcosa di già dato e compiuto, che però ha</w:t>
      </w:r>
      <w:r w:rsidR="00D853DC" w:rsidRPr="002D61D4">
        <w:rPr>
          <w:rFonts w:ascii="Times New Roman" w:hAnsi="Times New Roman" w:cs="Times New Roman"/>
        </w:rPr>
        <w:t xml:space="preserve"> avuto</w:t>
      </w:r>
      <w:r w:rsidR="00845B75" w:rsidRPr="002D61D4">
        <w:rPr>
          <w:rFonts w:ascii="Times New Roman" w:hAnsi="Times New Roman" w:cs="Times New Roman"/>
        </w:rPr>
        <w:t xml:space="preserve"> una portata interiore nel determinare il complesso della vita e della convivenza di uomini e di popoli. Lӧwith arriva a parlare di Giappone come l’Antico e Europa come il Moderno, sottolineando come un “Giappone moderno” possa essere una contraddizione per gli europei. Ma se l’ottica occidentale vede</w:t>
      </w:r>
      <w:r w:rsidR="009E3F48" w:rsidRPr="002D61D4">
        <w:rPr>
          <w:rFonts w:ascii="Times New Roman" w:hAnsi="Times New Roman" w:cs="Times New Roman"/>
        </w:rPr>
        <w:t xml:space="preserve"> una relazione tra cose inconciliabili</w:t>
      </w:r>
      <w:r w:rsidR="00D853DC" w:rsidRPr="002D61D4">
        <w:rPr>
          <w:rFonts w:ascii="Times New Roman" w:hAnsi="Times New Roman" w:cs="Times New Roman"/>
        </w:rPr>
        <w:t xml:space="preserve"> (antico e moderno)</w:t>
      </w:r>
      <w:r w:rsidR="009E3F48" w:rsidRPr="002D61D4">
        <w:rPr>
          <w:rFonts w:ascii="Times New Roman" w:hAnsi="Times New Roman" w:cs="Times New Roman"/>
        </w:rPr>
        <w:t xml:space="preserve">, per il Giappone si vorrebbe sommare alla propria perfezione la perfezione dell’Europa, per sancire in questo modo la propria superiorità legata </w:t>
      </w:r>
      <w:r w:rsidR="00D853DC" w:rsidRPr="002D61D4">
        <w:rPr>
          <w:rFonts w:ascii="Times New Roman" w:hAnsi="Times New Roman" w:cs="Times New Roman"/>
        </w:rPr>
        <w:t xml:space="preserve">all’amor proprio. </w:t>
      </w:r>
    </w:p>
    <w:p w:rsidR="004B5F80" w:rsidRDefault="009E3F48" w:rsidP="00EC6876">
      <w:pPr>
        <w:pStyle w:val="Nessunaspaziatura"/>
        <w:jc w:val="both"/>
        <w:rPr>
          <w:rFonts w:ascii="Times New Roman" w:hAnsi="Times New Roman" w:cs="Times New Roman"/>
        </w:rPr>
      </w:pPr>
      <w:r w:rsidRPr="002D61D4">
        <w:rPr>
          <w:rFonts w:ascii="Times New Roman" w:hAnsi="Times New Roman" w:cs="Times New Roman"/>
        </w:rPr>
        <w:t xml:space="preserve">Lӧwith ritiene opportuno soffermarsi sul </w:t>
      </w:r>
      <w:r w:rsidRPr="002D61D4">
        <w:rPr>
          <w:rFonts w:ascii="Times New Roman" w:hAnsi="Times New Roman" w:cs="Times New Roman"/>
          <w:i/>
        </w:rPr>
        <w:t>come</w:t>
      </w:r>
      <w:r w:rsidRPr="002D61D4">
        <w:rPr>
          <w:rFonts w:ascii="Times New Roman" w:hAnsi="Times New Roman" w:cs="Times New Roman"/>
        </w:rPr>
        <w:t xml:space="preserve"> avvenga questa occidentalizzazione del Giappone, e subito parla della capacità di estraniarsi e quindi di appropriarsi dell’altro partendo dal </w:t>
      </w:r>
      <w:r w:rsidR="00D853DC" w:rsidRPr="002D61D4">
        <w:rPr>
          <w:rFonts w:ascii="Times New Roman" w:hAnsi="Times New Roman" w:cs="Times New Roman"/>
        </w:rPr>
        <w:t xml:space="preserve">distacco da se stessi. Nel </w:t>
      </w:r>
      <w:r w:rsidR="00D853DC" w:rsidRPr="002D61D4">
        <w:rPr>
          <w:rFonts w:ascii="Times New Roman" w:hAnsi="Times New Roman" w:cs="Times New Roman"/>
        </w:rPr>
        <w:lastRenderedPageBreak/>
        <w:t xml:space="preserve">caso dei Giapponesi l’autore mette in evidenza la mancanza </w:t>
      </w:r>
      <w:r w:rsidRPr="002D61D4">
        <w:rPr>
          <w:rFonts w:ascii="Times New Roman" w:hAnsi="Times New Roman" w:cs="Times New Roman"/>
        </w:rPr>
        <w:t>della libera appropriazione, ovvero di quell’interesse p</w:t>
      </w:r>
      <w:r w:rsidR="00FC2B97" w:rsidRPr="002D61D4">
        <w:rPr>
          <w:rFonts w:ascii="Times New Roman" w:hAnsi="Times New Roman" w:cs="Times New Roman"/>
        </w:rPr>
        <w:t>e</w:t>
      </w:r>
      <w:r w:rsidRPr="002D61D4">
        <w:rPr>
          <w:rFonts w:ascii="Times New Roman" w:hAnsi="Times New Roman" w:cs="Times New Roman"/>
        </w:rPr>
        <w:t>r lo straniero pari a quello per se stessi</w:t>
      </w:r>
      <w:r w:rsidR="00FC2B97" w:rsidRPr="002D61D4">
        <w:rPr>
          <w:rFonts w:ascii="Times New Roman" w:hAnsi="Times New Roman" w:cs="Times New Roman"/>
        </w:rPr>
        <w:t>, quale era stato per i Greci “Europei primogeniti”</w:t>
      </w:r>
      <w:r w:rsidR="00D853DC" w:rsidRPr="002D61D4">
        <w:rPr>
          <w:rFonts w:ascii="Times New Roman" w:hAnsi="Times New Roman" w:cs="Times New Roman"/>
        </w:rPr>
        <w:t>(espressione di Burckhardt)</w:t>
      </w:r>
      <w:r w:rsidR="00FC2B97" w:rsidRPr="002D61D4">
        <w:rPr>
          <w:rFonts w:ascii="Times New Roman" w:hAnsi="Times New Roman" w:cs="Times New Roman"/>
        </w:rPr>
        <w:t xml:space="preserve"> nei confronti dell’Asia, della Persia e dell’Egitto, come aveva scritto Hegel. I Giapponesi non partono dall’altro per ritornare a sé (“non sono in ciò che è altro presso di sé” come direbbe Hegel) ma vivono su due piani diversi: quello in cui sentono e pensano da Giapponesi e quello in cui si trovano le scienze europee da Platone ad Heidegger. Molto pungente è il commento di Lӧwith che in proposito scrive: “Io dubito che vi siano dei Giapponesi-volentieri mi ricrederei- che come Baudelaire e Flaubert, Proudhon e Sorel, Wagner e Nietzsche mettano in dubbio se stessi e la loro nazione con la stessa inflessibile durezza, come accade in Europa.” Da queste parole lo Spirito europeo risulta essere quindi lo spirito della critica che attraverso la sua forza del negare mantiene un movimento che è la cifra essenziale del nostro progresso. L’antitesi a questo tipo di Spirito è quindi ben letta da Lӧ</w:t>
      </w:r>
      <w:r w:rsidR="007B1193" w:rsidRPr="002D61D4">
        <w:rPr>
          <w:rFonts w:ascii="Times New Roman" w:hAnsi="Times New Roman" w:cs="Times New Roman"/>
        </w:rPr>
        <w:t>w</w:t>
      </w:r>
      <w:r w:rsidR="00FC2B97" w:rsidRPr="002D61D4">
        <w:rPr>
          <w:rFonts w:ascii="Times New Roman" w:hAnsi="Times New Roman" w:cs="Times New Roman"/>
        </w:rPr>
        <w:t>ith nell’unità priva di contrasti</w:t>
      </w:r>
      <w:r w:rsidR="007B1193" w:rsidRPr="002D61D4">
        <w:rPr>
          <w:rFonts w:ascii="Times New Roman" w:hAnsi="Times New Roman" w:cs="Times New Roman"/>
        </w:rPr>
        <w:t>, legata in Giappone allo sviluppo di solide tradizioni. Richiamand</w:t>
      </w:r>
      <w:r w:rsidR="007B3A93" w:rsidRPr="002D61D4">
        <w:rPr>
          <w:rFonts w:ascii="Times New Roman" w:hAnsi="Times New Roman" w:cs="Times New Roman"/>
        </w:rPr>
        <w:t>o ancora una volta Hegel attraverso le parole di Burckhardt, Lӧwith</w:t>
      </w:r>
      <w:r w:rsidR="007B1193" w:rsidRPr="002D61D4">
        <w:rPr>
          <w:rFonts w:ascii="Times New Roman" w:hAnsi="Times New Roman" w:cs="Times New Roman"/>
        </w:rPr>
        <w:t xml:space="preserve"> arriva a riconoscere nella caratterizzazione dello spirito greco la vera descrizione dell’essenza europea poiché si tratta di uno spirito anti</w:t>
      </w:r>
      <w:r w:rsidR="007B3A93" w:rsidRPr="002D61D4">
        <w:rPr>
          <w:rFonts w:ascii="Times New Roman" w:hAnsi="Times New Roman" w:cs="Times New Roman"/>
        </w:rPr>
        <w:t>-</w:t>
      </w:r>
      <w:r w:rsidR="007B1193" w:rsidRPr="002D61D4">
        <w:rPr>
          <w:rFonts w:ascii="Times New Roman" w:hAnsi="Times New Roman" w:cs="Times New Roman"/>
        </w:rPr>
        <w:t>asiatico data la sua sostanziale individualità</w:t>
      </w:r>
      <w:r w:rsidR="007B3A93" w:rsidRPr="002D61D4">
        <w:rPr>
          <w:rFonts w:ascii="Times New Roman" w:hAnsi="Times New Roman" w:cs="Times New Roman"/>
        </w:rPr>
        <w:t>. L’Europa risulta dunque il luogo delle forme più ricche e la patria di tutte le differenze e le antitesi. La ve</w:t>
      </w:r>
      <w:r w:rsidR="00D853DC" w:rsidRPr="002D61D4">
        <w:rPr>
          <w:rFonts w:ascii="Times New Roman" w:hAnsi="Times New Roman" w:cs="Times New Roman"/>
        </w:rPr>
        <w:t>ra minaccia per un tramonto di questo continente</w:t>
      </w:r>
      <w:r w:rsidR="007B3A93" w:rsidRPr="002D61D4">
        <w:rPr>
          <w:rFonts w:ascii="Times New Roman" w:hAnsi="Times New Roman" w:cs="Times New Roman"/>
        </w:rPr>
        <w:t xml:space="preserve"> è nella potenza uniformante e opprimente, ma non bisogna credere a questa fine dat</w:t>
      </w:r>
      <w:r w:rsidR="00D853DC" w:rsidRPr="002D61D4">
        <w:rPr>
          <w:rFonts w:ascii="Times New Roman" w:hAnsi="Times New Roman" w:cs="Times New Roman"/>
        </w:rPr>
        <w:t>o che ormai l’Europa</w:t>
      </w:r>
      <w:r w:rsidR="007B3A93" w:rsidRPr="002D61D4">
        <w:rPr>
          <w:rFonts w:ascii="Times New Roman" w:hAnsi="Times New Roman" w:cs="Times New Roman"/>
        </w:rPr>
        <w:t xml:space="preserve"> ha costretto al suo progresso tutta la terra (America, Russia e Oriente), andando a rovesciare il percorso hegeliano di sviluppo da Occidente a Oriente. In conclusione della postfazione, Lӧwith evidenzia come in realtà l’Europa di cui ha scritto non è questa civiltà negatrice che si estende su tutta la terra, ma è quella vecchia Europa </w:t>
      </w:r>
      <w:r w:rsidR="00C80B28" w:rsidRPr="002D61D4">
        <w:rPr>
          <w:rFonts w:ascii="Times New Roman" w:hAnsi="Times New Roman" w:cs="Times New Roman"/>
        </w:rPr>
        <w:t>che preserva ancora la sua impronta spirituale fondamentale, riconoscendo ancora una volta come Nietzsche rappresenti l’ultimo filosofo in cui lo Spirito europeo è ancora vivo.</w:t>
      </w:r>
    </w:p>
    <w:p w:rsidR="0098044E" w:rsidRDefault="0098044E" w:rsidP="00EC6876">
      <w:pPr>
        <w:pStyle w:val="Nessunaspaziatura"/>
        <w:jc w:val="both"/>
        <w:rPr>
          <w:rFonts w:ascii="Times New Roman" w:hAnsi="Times New Roman" w:cs="Times New Roman"/>
        </w:rPr>
      </w:pPr>
    </w:p>
    <w:p w:rsidR="0098044E" w:rsidRPr="004B5F80" w:rsidRDefault="0098044E" w:rsidP="00EC6876">
      <w:pPr>
        <w:pStyle w:val="Nessunaspaziatura"/>
        <w:jc w:val="both"/>
        <w:rPr>
          <w:rFonts w:ascii="Times New Roman" w:hAnsi="Times New Roman" w:cs="Times New Roman"/>
          <w:sz w:val="20"/>
          <w:szCs w:val="20"/>
        </w:rPr>
      </w:pPr>
      <w:r>
        <w:rPr>
          <w:rFonts w:ascii="Times New Roman" w:hAnsi="Times New Roman" w:cs="Times New Roman"/>
        </w:rPr>
        <w:t xml:space="preserve">                                                                                                                                 Virginia Potetti</w:t>
      </w:r>
    </w:p>
    <w:sectPr w:rsidR="0098044E" w:rsidRPr="004B5F8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BFB"/>
    <w:rsid w:val="000141F9"/>
    <w:rsid w:val="000C550F"/>
    <w:rsid w:val="00130C2F"/>
    <w:rsid w:val="00136B5F"/>
    <w:rsid w:val="001754DE"/>
    <w:rsid w:val="001D3BE9"/>
    <w:rsid w:val="001E05F5"/>
    <w:rsid w:val="00231B09"/>
    <w:rsid w:val="00235216"/>
    <w:rsid w:val="002D61D4"/>
    <w:rsid w:val="002D7F4E"/>
    <w:rsid w:val="00355429"/>
    <w:rsid w:val="003C015C"/>
    <w:rsid w:val="00414674"/>
    <w:rsid w:val="00427E35"/>
    <w:rsid w:val="004543B6"/>
    <w:rsid w:val="004B5F80"/>
    <w:rsid w:val="00563088"/>
    <w:rsid w:val="005C44B0"/>
    <w:rsid w:val="005E6F8A"/>
    <w:rsid w:val="006811A8"/>
    <w:rsid w:val="006C4787"/>
    <w:rsid w:val="006D0FE2"/>
    <w:rsid w:val="007841E7"/>
    <w:rsid w:val="007B1193"/>
    <w:rsid w:val="007B3A93"/>
    <w:rsid w:val="007F52B9"/>
    <w:rsid w:val="00805B30"/>
    <w:rsid w:val="00845B75"/>
    <w:rsid w:val="00930BFB"/>
    <w:rsid w:val="00933F5B"/>
    <w:rsid w:val="0098044E"/>
    <w:rsid w:val="009E3F48"/>
    <w:rsid w:val="00A42F78"/>
    <w:rsid w:val="00A71FE2"/>
    <w:rsid w:val="00B138CC"/>
    <w:rsid w:val="00B84E3E"/>
    <w:rsid w:val="00BC677B"/>
    <w:rsid w:val="00BE0BA2"/>
    <w:rsid w:val="00C57835"/>
    <w:rsid w:val="00C80B28"/>
    <w:rsid w:val="00CF779C"/>
    <w:rsid w:val="00D36C44"/>
    <w:rsid w:val="00D853DC"/>
    <w:rsid w:val="00DD7E4C"/>
    <w:rsid w:val="00E70797"/>
    <w:rsid w:val="00E7739F"/>
    <w:rsid w:val="00EC6876"/>
    <w:rsid w:val="00FC2B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930BF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930B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1905</Words>
  <Characters>10861</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PORTATILE 3</dc:creator>
  <cp:lastModifiedBy>Carla.Canullo</cp:lastModifiedBy>
  <cp:revision>2</cp:revision>
  <dcterms:created xsi:type="dcterms:W3CDTF">2012-12-19T16:06:00Z</dcterms:created>
  <dcterms:modified xsi:type="dcterms:W3CDTF">2012-12-19T16:06:00Z</dcterms:modified>
</cp:coreProperties>
</file>