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DA6" w:rsidRDefault="00121DA6" w:rsidP="00322D69">
      <w:pPr>
        <w:spacing w:after="0" w:line="360" w:lineRule="auto"/>
        <w:mirrorIndents/>
        <w:jc w:val="both"/>
        <w:rPr>
          <w:rFonts w:ascii="Times New Roman" w:hAnsi="Times New Roman" w:cs="Times New Roman"/>
          <w:sz w:val="36"/>
          <w:szCs w:val="36"/>
        </w:rPr>
      </w:pPr>
      <w:bookmarkStart w:id="0" w:name="_GoBack"/>
      <w:bookmarkEnd w:id="0"/>
      <w:r w:rsidRPr="00121DA6">
        <w:rPr>
          <w:rFonts w:ascii="Times New Roman" w:hAnsi="Times New Roman" w:cs="Times New Roman"/>
          <w:sz w:val="36"/>
          <w:szCs w:val="36"/>
        </w:rPr>
        <w:t>Karl Löwith:</w:t>
      </w:r>
    </w:p>
    <w:p w:rsidR="00121DA6" w:rsidRDefault="00121DA6" w:rsidP="00322D69">
      <w:pPr>
        <w:spacing w:after="0" w:line="360" w:lineRule="auto"/>
        <w:mirrorIndents/>
        <w:jc w:val="both"/>
        <w:rPr>
          <w:rFonts w:ascii="Times New Roman" w:hAnsi="Times New Roman" w:cs="Times New Roman"/>
          <w:sz w:val="36"/>
          <w:szCs w:val="36"/>
        </w:rPr>
      </w:pPr>
      <w:r w:rsidRPr="00121DA6">
        <w:rPr>
          <w:rFonts w:ascii="Times New Roman" w:hAnsi="Times New Roman" w:cs="Times New Roman"/>
          <w:sz w:val="36"/>
          <w:szCs w:val="36"/>
        </w:rPr>
        <w:t xml:space="preserve"> Il nichilismo europeo. Considerazione sugli antefatti spirituali della guerra europea</w:t>
      </w:r>
    </w:p>
    <w:p w:rsidR="00AF4B38" w:rsidRDefault="00AF4B38" w:rsidP="00322D69">
      <w:pPr>
        <w:spacing w:after="0" w:line="360" w:lineRule="auto"/>
        <w:mirrorIndents/>
        <w:jc w:val="both"/>
        <w:rPr>
          <w:rFonts w:ascii="Times New Roman" w:hAnsi="Times New Roman" w:cs="Times New Roman"/>
          <w:sz w:val="28"/>
          <w:szCs w:val="28"/>
        </w:rPr>
      </w:pPr>
    </w:p>
    <w:p w:rsidR="00121DA6" w:rsidRPr="00AF4B38" w:rsidRDefault="00AF4B38" w:rsidP="00322D69">
      <w:pPr>
        <w:spacing w:after="0" w:line="360" w:lineRule="auto"/>
        <w:mirrorIndents/>
        <w:jc w:val="both"/>
        <w:rPr>
          <w:rFonts w:ascii="Times New Roman" w:hAnsi="Times New Roman" w:cs="Times New Roman"/>
          <w:sz w:val="28"/>
          <w:szCs w:val="28"/>
        </w:rPr>
      </w:pPr>
      <w:r>
        <w:rPr>
          <w:rFonts w:ascii="Times New Roman" w:hAnsi="Times New Roman" w:cs="Times New Roman"/>
          <w:sz w:val="28"/>
          <w:szCs w:val="28"/>
        </w:rPr>
        <w:t>-</w:t>
      </w:r>
      <w:r w:rsidRPr="00AF4B38">
        <w:rPr>
          <w:rFonts w:ascii="Times New Roman" w:hAnsi="Times New Roman" w:cs="Times New Roman"/>
          <w:sz w:val="28"/>
          <w:szCs w:val="28"/>
        </w:rPr>
        <w:t xml:space="preserve">Riassunti dei capitoli </w:t>
      </w:r>
      <w:r>
        <w:rPr>
          <w:rFonts w:ascii="Times New Roman" w:hAnsi="Times New Roman" w:cs="Times New Roman"/>
          <w:sz w:val="28"/>
          <w:szCs w:val="28"/>
        </w:rPr>
        <w:t xml:space="preserve">n. </w:t>
      </w:r>
      <w:r w:rsidRPr="00AF4B38">
        <w:rPr>
          <w:rFonts w:ascii="Times New Roman" w:hAnsi="Times New Roman" w:cs="Times New Roman"/>
          <w:sz w:val="28"/>
          <w:szCs w:val="28"/>
        </w:rPr>
        <w:t xml:space="preserve">3(pt.1)e </w:t>
      </w:r>
      <w:r>
        <w:rPr>
          <w:rFonts w:ascii="Times New Roman" w:hAnsi="Times New Roman" w:cs="Times New Roman"/>
          <w:sz w:val="28"/>
          <w:szCs w:val="28"/>
        </w:rPr>
        <w:t xml:space="preserve">n. </w:t>
      </w:r>
      <w:r w:rsidRPr="00AF4B38">
        <w:rPr>
          <w:rFonts w:ascii="Times New Roman" w:hAnsi="Times New Roman" w:cs="Times New Roman"/>
          <w:sz w:val="28"/>
          <w:szCs w:val="28"/>
        </w:rPr>
        <w:t>1(pt.2)</w:t>
      </w:r>
      <w:r>
        <w:rPr>
          <w:rFonts w:ascii="Times New Roman" w:hAnsi="Times New Roman" w:cs="Times New Roman"/>
          <w:sz w:val="28"/>
          <w:szCs w:val="28"/>
        </w:rPr>
        <w:t>.</w:t>
      </w:r>
    </w:p>
    <w:p w:rsidR="00AF4B38" w:rsidRDefault="00AF4B38" w:rsidP="00322D69">
      <w:pPr>
        <w:spacing w:after="0" w:line="360" w:lineRule="auto"/>
        <w:mirrorIndents/>
        <w:jc w:val="both"/>
        <w:rPr>
          <w:rFonts w:ascii="Times New Roman" w:hAnsi="Times New Roman" w:cs="Times New Roman"/>
          <w:sz w:val="32"/>
          <w:szCs w:val="32"/>
        </w:rPr>
      </w:pPr>
    </w:p>
    <w:p w:rsidR="00121DA6" w:rsidRPr="00121DA6" w:rsidRDefault="00AF4B38" w:rsidP="00322D69">
      <w:pPr>
        <w:spacing w:after="0" w:line="360" w:lineRule="auto"/>
        <w:mirrorIndents/>
        <w:jc w:val="both"/>
        <w:rPr>
          <w:rFonts w:ascii="Times New Roman" w:hAnsi="Times New Roman" w:cs="Times New Roman"/>
          <w:sz w:val="32"/>
          <w:szCs w:val="32"/>
        </w:rPr>
      </w:pPr>
      <w:r>
        <w:rPr>
          <w:rFonts w:ascii="Times New Roman" w:hAnsi="Times New Roman" w:cs="Times New Roman"/>
          <w:sz w:val="32"/>
          <w:szCs w:val="32"/>
        </w:rPr>
        <w:t>3</w:t>
      </w:r>
      <w:r w:rsidR="00121DA6">
        <w:rPr>
          <w:rFonts w:ascii="Times New Roman" w:hAnsi="Times New Roman" w:cs="Times New Roman"/>
          <w:sz w:val="32"/>
          <w:szCs w:val="32"/>
        </w:rPr>
        <w:t>-</w:t>
      </w:r>
      <w:r w:rsidR="00121DA6" w:rsidRPr="00121DA6">
        <w:rPr>
          <w:rFonts w:ascii="Times New Roman" w:hAnsi="Times New Roman" w:cs="Times New Roman"/>
          <w:sz w:val="32"/>
          <w:szCs w:val="32"/>
        </w:rPr>
        <w:t>Il nichilismo europeo</w:t>
      </w:r>
      <w:r w:rsidR="00121DA6">
        <w:rPr>
          <w:rFonts w:ascii="Times New Roman" w:hAnsi="Times New Roman" w:cs="Times New Roman"/>
          <w:sz w:val="32"/>
          <w:szCs w:val="32"/>
        </w:rPr>
        <w:t>:</w:t>
      </w:r>
    </w:p>
    <w:p w:rsidR="00121DA6" w:rsidRDefault="00121DA6" w:rsidP="00322D69">
      <w:pPr>
        <w:spacing w:after="0" w:line="360" w:lineRule="auto"/>
        <w:mirrorIndents/>
        <w:jc w:val="both"/>
        <w:rPr>
          <w:rFonts w:ascii="Times New Roman" w:hAnsi="Times New Roman" w:cs="Times New Roman"/>
          <w:sz w:val="24"/>
          <w:szCs w:val="24"/>
        </w:rPr>
      </w:pPr>
    </w:p>
    <w:p w:rsidR="003F39D5" w:rsidRDefault="00AF4B38"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In questo </w:t>
      </w:r>
      <w:r w:rsidR="00322D69">
        <w:rPr>
          <w:rFonts w:ascii="Times New Roman" w:hAnsi="Times New Roman" w:cs="Times New Roman"/>
          <w:sz w:val="24"/>
          <w:szCs w:val="24"/>
        </w:rPr>
        <w:t>terzo capitolo chiamato: «Il Nichilismo Europeo», Löwith si accinge a spiegare le dinamiche espansive di questo «</w:t>
      </w:r>
      <w:r w:rsidR="00322D69" w:rsidRPr="00322D69">
        <w:rPr>
          <w:rFonts w:ascii="Times New Roman" w:hAnsi="Times New Roman" w:cs="Times New Roman"/>
          <w:i/>
          <w:sz w:val="24"/>
          <w:szCs w:val="24"/>
        </w:rPr>
        <w:t>spirito nichilista</w:t>
      </w:r>
      <w:r w:rsidR="00FD72FA">
        <w:rPr>
          <w:rFonts w:ascii="Times New Roman" w:hAnsi="Times New Roman" w:cs="Times New Roman"/>
          <w:i/>
          <w:sz w:val="24"/>
          <w:szCs w:val="24"/>
        </w:rPr>
        <w:t xml:space="preserve"> europeo</w:t>
      </w:r>
      <w:r w:rsidR="00322D69">
        <w:rPr>
          <w:rFonts w:ascii="Times New Roman" w:hAnsi="Times New Roman" w:cs="Times New Roman"/>
          <w:sz w:val="24"/>
          <w:szCs w:val="24"/>
        </w:rPr>
        <w:t>», andando a centralizzare l’argomento da cui prend</w:t>
      </w:r>
      <w:r w:rsidR="006E6376">
        <w:rPr>
          <w:rFonts w:ascii="Times New Roman" w:hAnsi="Times New Roman" w:cs="Times New Roman"/>
          <w:sz w:val="24"/>
          <w:szCs w:val="24"/>
        </w:rPr>
        <w:t>e il titolo la sua stessa opera</w:t>
      </w:r>
      <w:r w:rsidR="00322D69">
        <w:rPr>
          <w:rFonts w:ascii="Times New Roman" w:hAnsi="Times New Roman" w:cs="Times New Roman"/>
          <w:sz w:val="24"/>
          <w:szCs w:val="24"/>
        </w:rPr>
        <w:t>. Löwith trova che nell’Europa degli inizi del XIX secolo comincino a comparire i primi segni di uno sconforto, di un disagi</w:t>
      </w:r>
      <w:r w:rsidR="00B17E59">
        <w:rPr>
          <w:rFonts w:ascii="Times New Roman" w:hAnsi="Times New Roman" w:cs="Times New Roman"/>
          <w:sz w:val="24"/>
          <w:szCs w:val="24"/>
        </w:rPr>
        <w:t>o esistenziale che si faranno s</w:t>
      </w:r>
      <w:r w:rsidR="00322D69">
        <w:rPr>
          <w:rFonts w:ascii="Times New Roman" w:hAnsi="Times New Roman" w:cs="Times New Roman"/>
          <w:sz w:val="24"/>
          <w:szCs w:val="24"/>
        </w:rPr>
        <w:t>empre più evidenti in concomitanza al pregnante pr</w:t>
      </w:r>
      <w:r w:rsidR="00B17E59">
        <w:rPr>
          <w:rFonts w:ascii="Times New Roman" w:hAnsi="Times New Roman" w:cs="Times New Roman"/>
          <w:sz w:val="24"/>
          <w:szCs w:val="24"/>
        </w:rPr>
        <w:t>ogresso</w:t>
      </w:r>
      <w:r w:rsidR="00B337C3">
        <w:rPr>
          <w:rFonts w:ascii="Times New Roman" w:hAnsi="Times New Roman" w:cs="Times New Roman"/>
          <w:sz w:val="24"/>
          <w:szCs w:val="24"/>
        </w:rPr>
        <w:t xml:space="preserve"> dei mezzi della tecnica (che si propaga sull’onda del positivismo). Ebbene in questo clima comincia ad affacciarsi una debolezza spirituale che culminerà in un nichilismo generalizzato</w:t>
      </w:r>
      <w:r w:rsidR="00FD72FA">
        <w:rPr>
          <w:rFonts w:ascii="Times New Roman" w:hAnsi="Times New Roman" w:cs="Times New Roman"/>
          <w:sz w:val="24"/>
          <w:szCs w:val="24"/>
        </w:rPr>
        <w:t>,</w:t>
      </w:r>
      <w:r w:rsidR="00B337C3">
        <w:rPr>
          <w:rFonts w:ascii="Times New Roman" w:hAnsi="Times New Roman" w:cs="Times New Roman"/>
          <w:sz w:val="24"/>
          <w:szCs w:val="24"/>
        </w:rPr>
        <w:t xml:space="preserve"> che</w:t>
      </w:r>
      <w:r w:rsidR="00B17E59">
        <w:rPr>
          <w:rFonts w:ascii="Times New Roman" w:hAnsi="Times New Roman" w:cs="Times New Roman"/>
          <w:sz w:val="24"/>
          <w:szCs w:val="24"/>
        </w:rPr>
        <w:t xml:space="preserve"> sarà colto in particolare dalla</w:t>
      </w:r>
      <w:r w:rsidR="00FD72FA">
        <w:rPr>
          <w:rFonts w:ascii="Times New Roman" w:hAnsi="Times New Roman" w:cs="Times New Roman"/>
          <w:sz w:val="24"/>
          <w:szCs w:val="24"/>
        </w:rPr>
        <w:t xml:space="preserve"> filosofia di Nietzsche: </w:t>
      </w:r>
      <w:r w:rsidR="00B337C3">
        <w:rPr>
          <w:rFonts w:ascii="Times New Roman" w:hAnsi="Times New Roman" w:cs="Times New Roman"/>
          <w:sz w:val="24"/>
          <w:szCs w:val="24"/>
        </w:rPr>
        <w:t>colui che da subito parlò di una «</w:t>
      </w:r>
      <w:r w:rsidR="00B337C3" w:rsidRPr="0039014E">
        <w:rPr>
          <w:rFonts w:ascii="Times New Roman" w:hAnsi="Times New Roman" w:cs="Times New Roman"/>
          <w:sz w:val="24"/>
          <w:szCs w:val="24"/>
        </w:rPr>
        <w:t>logica della decadenza</w:t>
      </w:r>
      <w:r w:rsidR="00B337C3">
        <w:rPr>
          <w:rFonts w:ascii="Times New Roman" w:hAnsi="Times New Roman" w:cs="Times New Roman"/>
          <w:sz w:val="24"/>
          <w:szCs w:val="24"/>
        </w:rPr>
        <w:t>»</w:t>
      </w:r>
      <w:r w:rsidR="003B141C">
        <w:rPr>
          <w:rFonts w:ascii="Times New Roman" w:hAnsi="Times New Roman" w:cs="Times New Roman"/>
          <w:sz w:val="24"/>
          <w:szCs w:val="24"/>
        </w:rPr>
        <w:t xml:space="preserve">. Per una maggiore comprensione di questo impotente stato d’animo generale dell’Europa, Löwith si rifà a degli esempi calzanti provenienti dall’ambito letterario e filosofico. Tra i letterati europei che l’autore riporta, citando anche vari passaggi delle loro opere, troviamo Goethe, Baudelaire, Flaubert, George. Vengono anche riprese le critiche </w:t>
      </w:r>
      <w:r w:rsidR="004D561D">
        <w:rPr>
          <w:rFonts w:ascii="Times New Roman" w:hAnsi="Times New Roman" w:cs="Times New Roman"/>
          <w:sz w:val="24"/>
          <w:szCs w:val="24"/>
        </w:rPr>
        <w:t>alla crisi della società europea di due tra i più imponenti poeti e letterati russi, quali Dostoevskij e Tolstoj. Flaubert e Baudelaire descrissero c</w:t>
      </w:r>
      <w:r w:rsidR="00533DCD">
        <w:rPr>
          <w:rFonts w:ascii="Times New Roman" w:hAnsi="Times New Roman" w:cs="Times New Roman"/>
          <w:sz w:val="24"/>
          <w:szCs w:val="24"/>
        </w:rPr>
        <w:t xml:space="preserve">on dedizione l’afflizione degli </w:t>
      </w:r>
      <w:r w:rsidR="004D561D">
        <w:rPr>
          <w:rFonts w:ascii="Times New Roman" w:hAnsi="Times New Roman" w:cs="Times New Roman"/>
          <w:sz w:val="24"/>
          <w:szCs w:val="24"/>
        </w:rPr>
        <w:t>animi d’allora, l’indolenza nei confronti di una società lasciata alla mercé del caos scientifico o di sollevazioni (vedi quella del 1848) che si rivelarono presto inutili per ri</w:t>
      </w:r>
      <w:r w:rsidR="004F0D42">
        <w:rPr>
          <w:rFonts w:ascii="Times New Roman" w:hAnsi="Times New Roman" w:cs="Times New Roman"/>
          <w:sz w:val="24"/>
          <w:szCs w:val="24"/>
        </w:rPr>
        <w:t>solvere ciò che struggeva dentro</w:t>
      </w:r>
      <w:r w:rsidR="004D561D">
        <w:rPr>
          <w:rFonts w:ascii="Times New Roman" w:hAnsi="Times New Roman" w:cs="Times New Roman"/>
          <w:sz w:val="24"/>
          <w:szCs w:val="24"/>
        </w:rPr>
        <w:t xml:space="preserve"> le loro coscienze.</w:t>
      </w:r>
    </w:p>
    <w:p w:rsidR="003B141C" w:rsidRDefault="004D561D"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Löwith c</w:t>
      </w:r>
      <w:r w:rsidR="00FD72FA">
        <w:rPr>
          <w:rFonts w:ascii="Times New Roman" w:hAnsi="Times New Roman" w:cs="Times New Roman"/>
          <w:sz w:val="24"/>
          <w:szCs w:val="24"/>
        </w:rPr>
        <w:t>ita in particolare Baudelaire che ci parla del</w:t>
      </w:r>
      <w:r>
        <w:rPr>
          <w:rFonts w:ascii="Times New Roman" w:hAnsi="Times New Roman" w:cs="Times New Roman"/>
          <w:sz w:val="24"/>
          <w:szCs w:val="24"/>
        </w:rPr>
        <w:t xml:space="preserve">la sua volontà di </w:t>
      </w:r>
      <w:r w:rsidR="0051575F">
        <w:rPr>
          <w:rFonts w:ascii="Times New Roman" w:hAnsi="Times New Roman" w:cs="Times New Roman"/>
          <w:sz w:val="24"/>
          <w:szCs w:val="24"/>
        </w:rPr>
        <w:t>«</w:t>
      </w:r>
      <w:r w:rsidRPr="0039014E">
        <w:rPr>
          <w:rFonts w:ascii="Times New Roman" w:hAnsi="Times New Roman" w:cs="Times New Roman"/>
          <w:sz w:val="24"/>
          <w:szCs w:val="24"/>
        </w:rPr>
        <w:t>mettere in versi la fine del mondo</w:t>
      </w:r>
      <w:r w:rsidR="0051575F">
        <w:rPr>
          <w:rFonts w:ascii="Times New Roman" w:hAnsi="Times New Roman" w:cs="Times New Roman"/>
          <w:sz w:val="24"/>
          <w:szCs w:val="24"/>
        </w:rPr>
        <w:t>»</w:t>
      </w:r>
      <w:r w:rsidR="0039014E">
        <w:rPr>
          <w:rStyle w:val="Rimandonotaapidipagina"/>
          <w:rFonts w:ascii="Times New Roman" w:hAnsi="Times New Roman" w:cs="Times New Roman"/>
          <w:sz w:val="24"/>
          <w:szCs w:val="24"/>
        </w:rPr>
        <w:footnoteReference w:id="1"/>
      </w:r>
      <w:r>
        <w:rPr>
          <w:rFonts w:ascii="Times New Roman" w:hAnsi="Times New Roman" w:cs="Times New Roman"/>
          <w:sz w:val="24"/>
          <w:szCs w:val="24"/>
        </w:rPr>
        <w:t xml:space="preserve">, una volontà di </w:t>
      </w:r>
      <w:r w:rsidR="0051575F">
        <w:rPr>
          <w:rFonts w:ascii="Times New Roman" w:hAnsi="Times New Roman" w:cs="Times New Roman"/>
          <w:sz w:val="24"/>
          <w:szCs w:val="24"/>
        </w:rPr>
        <w:t>«</w:t>
      </w:r>
      <w:r w:rsidRPr="0039014E">
        <w:rPr>
          <w:rFonts w:ascii="Times New Roman" w:hAnsi="Times New Roman" w:cs="Times New Roman"/>
          <w:sz w:val="24"/>
          <w:szCs w:val="24"/>
        </w:rPr>
        <w:t>dimenticare il passato contento del presente e rassegnato al futuro</w:t>
      </w:r>
      <w:r w:rsidR="0051575F">
        <w:rPr>
          <w:rFonts w:ascii="Times New Roman" w:hAnsi="Times New Roman" w:cs="Times New Roman"/>
          <w:sz w:val="24"/>
          <w:szCs w:val="24"/>
        </w:rPr>
        <w:t>»</w:t>
      </w:r>
      <w:r w:rsidR="0051575F">
        <w:rPr>
          <w:rStyle w:val="Rimandonotaapidipagina"/>
          <w:rFonts w:ascii="Times New Roman" w:hAnsi="Times New Roman" w:cs="Times New Roman"/>
          <w:sz w:val="24"/>
          <w:szCs w:val="24"/>
        </w:rPr>
        <w:footnoteReference w:id="2"/>
      </w:r>
      <w:r w:rsidRPr="0039014E">
        <w:rPr>
          <w:rFonts w:ascii="Times New Roman" w:hAnsi="Times New Roman" w:cs="Times New Roman"/>
          <w:sz w:val="24"/>
          <w:szCs w:val="24"/>
        </w:rPr>
        <w:t>,</w:t>
      </w:r>
      <w:r>
        <w:rPr>
          <w:rFonts w:ascii="Times New Roman" w:hAnsi="Times New Roman" w:cs="Times New Roman"/>
          <w:sz w:val="24"/>
          <w:szCs w:val="24"/>
        </w:rPr>
        <w:t xml:space="preserve"> una espressione di rovina </w:t>
      </w:r>
      <w:r w:rsidR="00FD72FA">
        <w:rPr>
          <w:rFonts w:ascii="Times New Roman" w:hAnsi="Times New Roman" w:cs="Times New Roman"/>
          <w:sz w:val="24"/>
          <w:szCs w:val="24"/>
        </w:rPr>
        <w:t>che per il poeta risiedeva in uno</w:t>
      </w:r>
      <w:r>
        <w:rPr>
          <w:rFonts w:ascii="Times New Roman" w:hAnsi="Times New Roman" w:cs="Times New Roman"/>
          <w:sz w:val="24"/>
          <w:szCs w:val="24"/>
        </w:rPr>
        <w:t xml:space="preserve"> </w:t>
      </w:r>
      <w:r w:rsidR="0051575F">
        <w:rPr>
          <w:rFonts w:ascii="Times New Roman" w:hAnsi="Times New Roman" w:cs="Times New Roman"/>
          <w:sz w:val="24"/>
          <w:szCs w:val="24"/>
        </w:rPr>
        <w:t>«</w:t>
      </w:r>
      <w:r w:rsidRPr="0039014E">
        <w:rPr>
          <w:rFonts w:ascii="Times New Roman" w:hAnsi="Times New Roman" w:cs="Times New Roman"/>
          <w:sz w:val="24"/>
          <w:szCs w:val="24"/>
        </w:rPr>
        <w:t>svilimento dei cuori</w:t>
      </w:r>
      <w:r w:rsidR="0051575F">
        <w:rPr>
          <w:rFonts w:ascii="Times New Roman" w:hAnsi="Times New Roman" w:cs="Times New Roman"/>
          <w:sz w:val="24"/>
          <w:szCs w:val="24"/>
        </w:rPr>
        <w:t>»</w:t>
      </w:r>
      <w:r w:rsidR="006B5605">
        <w:rPr>
          <w:rStyle w:val="Rimandonotaapidipagina"/>
          <w:rFonts w:ascii="Times New Roman" w:hAnsi="Times New Roman" w:cs="Times New Roman"/>
          <w:sz w:val="24"/>
          <w:szCs w:val="24"/>
        </w:rPr>
        <w:footnoteReference w:id="3"/>
      </w:r>
      <w:r>
        <w:rPr>
          <w:rFonts w:ascii="Times New Roman" w:hAnsi="Times New Roman" w:cs="Times New Roman"/>
          <w:i/>
          <w:sz w:val="24"/>
          <w:szCs w:val="24"/>
        </w:rPr>
        <w:t>.</w:t>
      </w:r>
      <w:r w:rsidR="006B5605">
        <w:rPr>
          <w:rFonts w:ascii="Times New Roman" w:hAnsi="Times New Roman" w:cs="Times New Roman"/>
          <w:sz w:val="24"/>
          <w:szCs w:val="24"/>
        </w:rPr>
        <w:t>Nello stesso momento i</w:t>
      </w:r>
      <w:r w:rsidR="00533DCD">
        <w:rPr>
          <w:rFonts w:ascii="Times New Roman" w:hAnsi="Times New Roman" w:cs="Times New Roman"/>
          <w:sz w:val="24"/>
          <w:szCs w:val="24"/>
        </w:rPr>
        <w:t>n cui scrivono Baudelaire e Flau</w:t>
      </w:r>
      <w:r w:rsidR="006B5605">
        <w:rPr>
          <w:rFonts w:ascii="Times New Roman" w:hAnsi="Times New Roman" w:cs="Times New Roman"/>
          <w:sz w:val="24"/>
          <w:szCs w:val="24"/>
        </w:rPr>
        <w:t xml:space="preserve">bert, in Russia si fa largo la tendenza </w:t>
      </w:r>
      <w:r w:rsidR="006B5605">
        <w:rPr>
          <w:rFonts w:ascii="Times New Roman" w:hAnsi="Times New Roman" w:cs="Times New Roman"/>
          <w:sz w:val="24"/>
          <w:szCs w:val="24"/>
        </w:rPr>
        <w:lastRenderedPageBreak/>
        <w:t>all’occidentalizzazione da parte di alcune schiere intellettual</w:t>
      </w:r>
      <w:r w:rsidR="00533DCD">
        <w:rPr>
          <w:rFonts w:ascii="Times New Roman" w:hAnsi="Times New Roman" w:cs="Times New Roman"/>
          <w:sz w:val="24"/>
          <w:szCs w:val="24"/>
        </w:rPr>
        <w:t>i</w:t>
      </w:r>
      <w:r w:rsidR="006B5605">
        <w:rPr>
          <w:rFonts w:ascii="Times New Roman" w:hAnsi="Times New Roman" w:cs="Times New Roman"/>
          <w:sz w:val="24"/>
          <w:szCs w:val="24"/>
        </w:rPr>
        <w:t>, che viene però altamente criticata da chi come Dostoevskij e Tolstoj già coglievano gli effluvi d</w:t>
      </w:r>
      <w:r w:rsidR="00533DCD">
        <w:rPr>
          <w:rFonts w:ascii="Times New Roman" w:hAnsi="Times New Roman" w:cs="Times New Roman"/>
          <w:sz w:val="24"/>
          <w:szCs w:val="24"/>
        </w:rPr>
        <w:t>ella decadenza</w:t>
      </w:r>
      <w:r w:rsidR="006B5605">
        <w:rPr>
          <w:rFonts w:ascii="Times New Roman" w:hAnsi="Times New Roman" w:cs="Times New Roman"/>
          <w:sz w:val="24"/>
          <w:szCs w:val="24"/>
        </w:rPr>
        <w:t xml:space="preserve"> europea che avrebbe potuto intaccare la </w:t>
      </w:r>
      <w:r w:rsidR="00533DCD">
        <w:rPr>
          <w:rFonts w:ascii="Times New Roman" w:hAnsi="Times New Roman" w:cs="Times New Roman"/>
          <w:sz w:val="24"/>
          <w:szCs w:val="24"/>
        </w:rPr>
        <w:t>società russa. La loro critica s</w:t>
      </w:r>
      <w:r w:rsidR="006B5605">
        <w:rPr>
          <w:rFonts w:ascii="Times New Roman" w:hAnsi="Times New Roman" w:cs="Times New Roman"/>
          <w:sz w:val="24"/>
          <w:szCs w:val="24"/>
        </w:rPr>
        <w:t>i ri</w:t>
      </w:r>
      <w:r w:rsidR="00533DCD">
        <w:rPr>
          <w:rFonts w:ascii="Times New Roman" w:hAnsi="Times New Roman" w:cs="Times New Roman"/>
          <w:sz w:val="24"/>
          <w:szCs w:val="24"/>
        </w:rPr>
        <w:t>feriva soprattut</w:t>
      </w:r>
      <w:r w:rsidR="008B18AC">
        <w:rPr>
          <w:rFonts w:ascii="Times New Roman" w:hAnsi="Times New Roman" w:cs="Times New Roman"/>
          <w:sz w:val="24"/>
          <w:szCs w:val="24"/>
        </w:rPr>
        <w:t>t</w:t>
      </w:r>
      <w:r w:rsidR="00533DCD">
        <w:rPr>
          <w:rFonts w:ascii="Times New Roman" w:hAnsi="Times New Roman" w:cs="Times New Roman"/>
          <w:sz w:val="24"/>
          <w:szCs w:val="24"/>
        </w:rPr>
        <w:t>o a quella volo</w:t>
      </w:r>
      <w:r w:rsidR="006B5605">
        <w:rPr>
          <w:rFonts w:ascii="Times New Roman" w:hAnsi="Times New Roman" w:cs="Times New Roman"/>
          <w:sz w:val="24"/>
          <w:szCs w:val="24"/>
        </w:rPr>
        <w:t xml:space="preserve">ntà di prendere come esempio di progresso le istituzioni europee. Questa credenza non era condivisa </w:t>
      </w:r>
      <w:r w:rsidR="003D0F49">
        <w:rPr>
          <w:rFonts w:ascii="Times New Roman" w:hAnsi="Times New Roman" w:cs="Times New Roman"/>
          <w:sz w:val="24"/>
          <w:szCs w:val="24"/>
        </w:rPr>
        <w:t>da Dostoevskij che invece vedeva in questo progresso istituzionale un inganno che nella realtà nascondeva la perdita di ogni ideale e la propensione della società borghese europea a trasformarsi in un formicaio</w:t>
      </w:r>
      <w:r w:rsidR="003D0F49">
        <w:rPr>
          <w:rStyle w:val="Rimandonotaapidipagina"/>
          <w:rFonts w:ascii="Times New Roman" w:hAnsi="Times New Roman" w:cs="Times New Roman"/>
          <w:sz w:val="24"/>
          <w:szCs w:val="24"/>
        </w:rPr>
        <w:footnoteReference w:id="4"/>
      </w:r>
      <w:r w:rsidR="00DC7D70">
        <w:rPr>
          <w:rFonts w:ascii="Times New Roman" w:hAnsi="Times New Roman" w:cs="Times New Roman"/>
          <w:sz w:val="24"/>
          <w:szCs w:val="24"/>
        </w:rPr>
        <w:t xml:space="preserve">. In generale per Löwith se paragonassimo le opere letterarie </w:t>
      </w:r>
      <w:r w:rsidR="008B18AC">
        <w:rPr>
          <w:rFonts w:ascii="Times New Roman" w:hAnsi="Times New Roman" w:cs="Times New Roman"/>
          <w:sz w:val="24"/>
          <w:szCs w:val="24"/>
        </w:rPr>
        <w:t xml:space="preserve">dedite alla descrizione di un mondo umano </w:t>
      </w:r>
      <w:r w:rsidR="00DC7D70">
        <w:rPr>
          <w:rFonts w:ascii="Times New Roman" w:hAnsi="Times New Roman" w:cs="Times New Roman"/>
          <w:sz w:val="24"/>
          <w:szCs w:val="24"/>
        </w:rPr>
        <w:t>di poco precedenti a questo clima, come quelle di Tolstoj, Dic</w:t>
      </w:r>
      <w:r w:rsidR="008B18AC">
        <w:rPr>
          <w:rFonts w:ascii="Times New Roman" w:hAnsi="Times New Roman" w:cs="Times New Roman"/>
          <w:sz w:val="24"/>
          <w:szCs w:val="24"/>
        </w:rPr>
        <w:t>kens, Balzac, non troveremmo</w:t>
      </w:r>
      <w:r w:rsidR="00DC7D70">
        <w:rPr>
          <w:rFonts w:ascii="Times New Roman" w:hAnsi="Times New Roman" w:cs="Times New Roman"/>
          <w:sz w:val="24"/>
          <w:szCs w:val="24"/>
        </w:rPr>
        <w:t xml:space="preserve"> nelle più recenti di</w:t>
      </w:r>
      <w:r w:rsidR="009338E5">
        <w:rPr>
          <w:rFonts w:ascii="Times New Roman" w:hAnsi="Times New Roman" w:cs="Times New Roman"/>
          <w:sz w:val="24"/>
          <w:szCs w:val="24"/>
        </w:rPr>
        <w:t xml:space="preserve"> quelli com</w:t>
      </w:r>
      <w:r w:rsidR="008B18AC">
        <w:rPr>
          <w:rFonts w:ascii="Times New Roman" w:hAnsi="Times New Roman" w:cs="Times New Roman"/>
          <w:sz w:val="24"/>
          <w:szCs w:val="24"/>
        </w:rPr>
        <w:t>e Proust, Mann, Joyce, Lawrence</w:t>
      </w:r>
      <w:r w:rsidR="009338E5">
        <w:rPr>
          <w:rFonts w:ascii="Times New Roman" w:hAnsi="Times New Roman" w:cs="Times New Roman"/>
          <w:sz w:val="24"/>
          <w:szCs w:val="24"/>
        </w:rPr>
        <w:t xml:space="preserve"> il racconto di una vera e propria ricerca consapevole dell’umano.</w:t>
      </w:r>
    </w:p>
    <w:p w:rsidR="006145D1" w:rsidRDefault="009338E5"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In questi ultimi non c’è più una voglia di costruire data dalla fiducia nelle capacità dell’umano, ma una voglia di distruggere incanalata verso una stasi che veloce apre le porte dell’essere a quello che è un vero e proprio nulla.</w:t>
      </w:r>
      <w:r w:rsidR="00176279">
        <w:rPr>
          <w:rFonts w:ascii="Times New Roman" w:hAnsi="Times New Roman" w:cs="Times New Roman"/>
          <w:sz w:val="24"/>
          <w:szCs w:val="24"/>
        </w:rPr>
        <w:t xml:space="preserve"> </w:t>
      </w:r>
    </w:p>
    <w:p w:rsidR="003F39D5" w:rsidRDefault="00176279"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Su questa stessa linea, per Löwith, lo spirito del</w:t>
      </w:r>
      <w:r w:rsidR="006145D1">
        <w:rPr>
          <w:rFonts w:ascii="Times New Roman" w:hAnsi="Times New Roman" w:cs="Times New Roman"/>
          <w:sz w:val="24"/>
          <w:szCs w:val="24"/>
        </w:rPr>
        <w:t xml:space="preserve"> </w:t>
      </w:r>
      <w:r>
        <w:rPr>
          <w:rFonts w:ascii="Times New Roman" w:hAnsi="Times New Roman" w:cs="Times New Roman"/>
          <w:sz w:val="24"/>
          <w:szCs w:val="24"/>
        </w:rPr>
        <w:t>nichilismo si propaga anche nella filosofia. Egli per esplicare questa sua convinzione analizza in quest’opera l’e</w:t>
      </w:r>
      <w:r w:rsidR="006145D1">
        <w:rPr>
          <w:rFonts w:ascii="Times New Roman" w:hAnsi="Times New Roman" w:cs="Times New Roman"/>
          <w:sz w:val="24"/>
          <w:szCs w:val="24"/>
        </w:rPr>
        <w:t>volversi del pensiero filosofico</w:t>
      </w:r>
      <w:r>
        <w:rPr>
          <w:rFonts w:ascii="Times New Roman" w:hAnsi="Times New Roman" w:cs="Times New Roman"/>
          <w:sz w:val="24"/>
          <w:szCs w:val="24"/>
        </w:rPr>
        <w:t xml:space="preserve"> tra </w:t>
      </w:r>
      <w:r w:rsidR="006145D1">
        <w:rPr>
          <w:rFonts w:ascii="Times New Roman" w:hAnsi="Times New Roman" w:cs="Times New Roman"/>
          <w:sz w:val="24"/>
          <w:szCs w:val="24"/>
        </w:rPr>
        <w:t xml:space="preserve">pensatori come </w:t>
      </w:r>
      <w:r>
        <w:rPr>
          <w:rFonts w:ascii="Times New Roman" w:hAnsi="Times New Roman" w:cs="Times New Roman"/>
          <w:sz w:val="24"/>
          <w:szCs w:val="24"/>
        </w:rPr>
        <w:t>Hegel, Marx con Kierkegaard e Nietzsche, focalizzando poi la sua analisi su Heidegger nei capitoli seguenti.</w:t>
      </w:r>
    </w:p>
    <w:p w:rsidR="009338E5" w:rsidRDefault="00176279"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Löwith crede che Hegel compia la storia dello </w:t>
      </w:r>
      <w:r w:rsidR="003F39D5">
        <w:rPr>
          <w:rFonts w:ascii="Times New Roman" w:hAnsi="Times New Roman" w:cs="Times New Roman"/>
          <w:sz w:val="24"/>
          <w:szCs w:val="24"/>
        </w:rPr>
        <w:t>spirito dando al suo pensiero una «suprema pienezza» che si va a concludere con una «fine storica». Il senso di pienezza della sua filosofia è dato dalla conciliazione tra spirito e reale attraverso una ragione che si instaura come collante</w:t>
      </w:r>
      <w:r w:rsidR="006145D1">
        <w:rPr>
          <w:rFonts w:ascii="Times New Roman" w:hAnsi="Times New Roman" w:cs="Times New Roman"/>
          <w:sz w:val="24"/>
          <w:szCs w:val="24"/>
        </w:rPr>
        <w:t xml:space="preserve"> della realtà. La realtà al mom</w:t>
      </w:r>
      <w:r w:rsidR="003F39D5">
        <w:rPr>
          <w:rFonts w:ascii="Times New Roman" w:hAnsi="Times New Roman" w:cs="Times New Roman"/>
          <w:sz w:val="24"/>
          <w:szCs w:val="24"/>
        </w:rPr>
        <w:t>e</w:t>
      </w:r>
      <w:r w:rsidR="006145D1">
        <w:rPr>
          <w:rFonts w:ascii="Times New Roman" w:hAnsi="Times New Roman" w:cs="Times New Roman"/>
          <w:sz w:val="24"/>
          <w:szCs w:val="24"/>
        </w:rPr>
        <w:t>n</w:t>
      </w:r>
      <w:r w:rsidR="003F39D5">
        <w:rPr>
          <w:rFonts w:ascii="Times New Roman" w:hAnsi="Times New Roman" w:cs="Times New Roman"/>
          <w:sz w:val="24"/>
          <w:szCs w:val="24"/>
        </w:rPr>
        <w:t xml:space="preserve">to di Hegel è però </w:t>
      </w:r>
      <w:r w:rsidR="006145D1">
        <w:rPr>
          <w:rFonts w:ascii="Times New Roman" w:hAnsi="Times New Roman" w:cs="Times New Roman"/>
          <w:sz w:val="24"/>
          <w:szCs w:val="24"/>
        </w:rPr>
        <w:t>ferita, come è stato già reso chiaro</w:t>
      </w:r>
      <w:r w:rsidR="003F39D5">
        <w:rPr>
          <w:rFonts w:ascii="Times New Roman" w:hAnsi="Times New Roman" w:cs="Times New Roman"/>
          <w:sz w:val="24"/>
          <w:szCs w:val="24"/>
        </w:rPr>
        <w:t xml:space="preserve"> con i riferimenti alla letteratura europea. Allora, Löwith crede che attraverso il suo </w:t>
      </w:r>
      <w:r w:rsidR="00FD5069">
        <w:rPr>
          <w:rFonts w:ascii="Times New Roman" w:hAnsi="Times New Roman" w:cs="Times New Roman"/>
          <w:sz w:val="24"/>
          <w:szCs w:val="24"/>
        </w:rPr>
        <w:t>sistema Hegel fa</w:t>
      </w:r>
      <w:r w:rsidR="00383638">
        <w:rPr>
          <w:rFonts w:ascii="Times New Roman" w:hAnsi="Times New Roman" w:cs="Times New Roman"/>
          <w:sz w:val="24"/>
          <w:szCs w:val="24"/>
        </w:rPr>
        <w:t>ccia</w:t>
      </w:r>
      <w:r w:rsidR="00FD5069">
        <w:rPr>
          <w:rFonts w:ascii="Times New Roman" w:hAnsi="Times New Roman" w:cs="Times New Roman"/>
          <w:sz w:val="24"/>
          <w:szCs w:val="24"/>
        </w:rPr>
        <w:t xml:space="preserve"> in modo che il nichilismo emergente v</w:t>
      </w:r>
      <w:r w:rsidR="00FD72FA">
        <w:rPr>
          <w:rFonts w:ascii="Times New Roman" w:hAnsi="Times New Roman" w:cs="Times New Roman"/>
          <w:sz w:val="24"/>
          <w:szCs w:val="24"/>
        </w:rPr>
        <w:t>enga contenuto proprio dentro tale</w:t>
      </w:r>
      <w:r w:rsidR="00FD5069">
        <w:rPr>
          <w:rFonts w:ascii="Times New Roman" w:hAnsi="Times New Roman" w:cs="Times New Roman"/>
          <w:sz w:val="24"/>
          <w:szCs w:val="24"/>
        </w:rPr>
        <w:t xml:space="preserve"> concil</w:t>
      </w:r>
      <w:r w:rsidR="006145D1">
        <w:rPr>
          <w:rFonts w:ascii="Times New Roman" w:hAnsi="Times New Roman" w:cs="Times New Roman"/>
          <w:sz w:val="24"/>
          <w:szCs w:val="24"/>
        </w:rPr>
        <w:t>iazione. Quindi la storia dell’E</w:t>
      </w:r>
      <w:r w:rsidR="00FD5069">
        <w:rPr>
          <w:rFonts w:ascii="Times New Roman" w:hAnsi="Times New Roman" w:cs="Times New Roman"/>
          <w:sz w:val="24"/>
          <w:szCs w:val="24"/>
        </w:rPr>
        <w:t>uropa viene raccolta all’interno dello spirito, tutti i sistemi s</w:t>
      </w:r>
      <w:r w:rsidR="006145D1">
        <w:rPr>
          <w:rFonts w:ascii="Times New Roman" w:hAnsi="Times New Roman" w:cs="Times New Roman"/>
          <w:sz w:val="24"/>
          <w:szCs w:val="24"/>
        </w:rPr>
        <w:t xml:space="preserve">ono all’interno dello spirito cioè </w:t>
      </w:r>
      <w:r w:rsidR="00FD5069">
        <w:rPr>
          <w:rFonts w:ascii="Times New Roman" w:hAnsi="Times New Roman" w:cs="Times New Roman"/>
          <w:sz w:val="24"/>
          <w:szCs w:val="24"/>
        </w:rPr>
        <w:t>all’interno di un unico sistema. Il nu</w:t>
      </w:r>
      <w:r w:rsidR="00FD72FA">
        <w:rPr>
          <w:rFonts w:ascii="Times New Roman" w:hAnsi="Times New Roman" w:cs="Times New Roman"/>
          <w:sz w:val="24"/>
          <w:szCs w:val="24"/>
        </w:rPr>
        <w:t>lla e la negazione in Hegel sono difatti</w:t>
      </w:r>
      <w:r w:rsidR="00FD5069">
        <w:rPr>
          <w:rFonts w:ascii="Times New Roman" w:hAnsi="Times New Roman" w:cs="Times New Roman"/>
          <w:sz w:val="24"/>
          <w:szCs w:val="24"/>
        </w:rPr>
        <w:t xml:space="preserve"> </w:t>
      </w:r>
      <w:r w:rsidR="00FD72FA">
        <w:rPr>
          <w:rFonts w:ascii="Times New Roman" w:hAnsi="Times New Roman" w:cs="Times New Roman"/>
          <w:sz w:val="24"/>
          <w:szCs w:val="24"/>
        </w:rPr>
        <w:t xml:space="preserve">gli </w:t>
      </w:r>
      <w:r w:rsidR="00FD5069">
        <w:rPr>
          <w:rFonts w:ascii="Times New Roman" w:hAnsi="Times New Roman" w:cs="Times New Roman"/>
          <w:sz w:val="24"/>
          <w:szCs w:val="24"/>
        </w:rPr>
        <w:t xml:space="preserve">attimi necessari del sistema per </w:t>
      </w:r>
      <w:r w:rsidR="00FD72FA">
        <w:rPr>
          <w:rFonts w:ascii="Times New Roman" w:hAnsi="Times New Roman" w:cs="Times New Roman"/>
          <w:sz w:val="24"/>
          <w:szCs w:val="24"/>
        </w:rPr>
        <w:t xml:space="preserve">intraprendere </w:t>
      </w:r>
      <w:r w:rsidR="00FD5069">
        <w:rPr>
          <w:rFonts w:ascii="Times New Roman" w:hAnsi="Times New Roman" w:cs="Times New Roman"/>
          <w:sz w:val="24"/>
          <w:szCs w:val="24"/>
        </w:rPr>
        <w:t xml:space="preserve">un cammino che possa portare verso una conclusione storica. </w:t>
      </w:r>
    </w:p>
    <w:p w:rsidR="00FD5069" w:rsidRDefault="00FD5069"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Questa «fine storica» non porta </w:t>
      </w:r>
      <w:r w:rsidR="00432A34">
        <w:rPr>
          <w:rFonts w:ascii="Times New Roman" w:hAnsi="Times New Roman" w:cs="Times New Roman"/>
          <w:sz w:val="24"/>
          <w:szCs w:val="24"/>
        </w:rPr>
        <w:t xml:space="preserve">però </w:t>
      </w:r>
      <w:r>
        <w:rPr>
          <w:rFonts w:ascii="Times New Roman" w:hAnsi="Times New Roman" w:cs="Times New Roman"/>
          <w:sz w:val="24"/>
          <w:szCs w:val="24"/>
        </w:rPr>
        <w:t>con sé una n</w:t>
      </w:r>
      <w:r w:rsidR="00FD72FA">
        <w:rPr>
          <w:rFonts w:ascii="Times New Roman" w:hAnsi="Times New Roman" w:cs="Times New Roman"/>
          <w:sz w:val="24"/>
          <w:szCs w:val="24"/>
        </w:rPr>
        <w:t xml:space="preserve">ovità, o meglio, non ci suggerisce </w:t>
      </w:r>
      <w:r>
        <w:rPr>
          <w:rFonts w:ascii="Times New Roman" w:hAnsi="Times New Roman" w:cs="Times New Roman"/>
          <w:sz w:val="24"/>
          <w:szCs w:val="24"/>
        </w:rPr>
        <w:t xml:space="preserve">un vero e proprio </w:t>
      </w:r>
      <w:r w:rsidR="00FD72FA">
        <w:rPr>
          <w:rFonts w:ascii="Times New Roman" w:hAnsi="Times New Roman" w:cs="Times New Roman"/>
          <w:sz w:val="24"/>
          <w:szCs w:val="24"/>
        </w:rPr>
        <w:t xml:space="preserve">sapere, </w:t>
      </w:r>
      <w:r w:rsidR="000920EC">
        <w:rPr>
          <w:rFonts w:ascii="Times New Roman" w:hAnsi="Times New Roman" w:cs="Times New Roman"/>
          <w:sz w:val="24"/>
          <w:szCs w:val="24"/>
        </w:rPr>
        <w:t>una «nuova terra</w:t>
      </w:r>
      <w:r w:rsidR="00FD72FA">
        <w:rPr>
          <w:rFonts w:ascii="Times New Roman" w:hAnsi="Times New Roman" w:cs="Times New Roman"/>
          <w:sz w:val="24"/>
          <w:szCs w:val="24"/>
        </w:rPr>
        <w:t>» per lo spirito</w:t>
      </w:r>
      <w:r w:rsidR="001A1169">
        <w:rPr>
          <w:rFonts w:ascii="Times New Roman" w:hAnsi="Times New Roman" w:cs="Times New Roman"/>
          <w:sz w:val="24"/>
          <w:szCs w:val="24"/>
        </w:rPr>
        <w:t xml:space="preserve">. Ci sono nelle </w:t>
      </w:r>
      <w:r w:rsidR="001A1169" w:rsidRPr="001A1169">
        <w:rPr>
          <w:rFonts w:ascii="Times New Roman" w:hAnsi="Times New Roman" w:cs="Times New Roman"/>
          <w:i/>
          <w:sz w:val="24"/>
          <w:szCs w:val="24"/>
        </w:rPr>
        <w:t>Lezioni sulla filosofia della storia</w:t>
      </w:r>
      <w:r w:rsidR="001A1169">
        <w:rPr>
          <w:rFonts w:ascii="Times New Roman" w:hAnsi="Times New Roman" w:cs="Times New Roman"/>
          <w:sz w:val="24"/>
          <w:szCs w:val="24"/>
        </w:rPr>
        <w:t xml:space="preserve"> di Hegel </w:t>
      </w:r>
      <w:r w:rsidR="00002FB8">
        <w:rPr>
          <w:rFonts w:ascii="Times New Roman" w:hAnsi="Times New Roman" w:cs="Times New Roman"/>
          <w:sz w:val="24"/>
          <w:szCs w:val="24"/>
        </w:rPr>
        <w:t xml:space="preserve">dei riferimenti alla Russia e all’America, considerata a quei tempi l’avvenire per una nuova Europa, ma Hegel stesso non si spinge oltre un semplice riferimento. </w:t>
      </w:r>
    </w:p>
    <w:p w:rsidR="00D7674A" w:rsidRDefault="00002FB8"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Löwith afferma: «</w:t>
      </w:r>
      <w:r w:rsidRPr="00002FB8">
        <w:rPr>
          <w:rFonts w:ascii="Times New Roman" w:hAnsi="Times New Roman" w:cs="Times New Roman"/>
          <w:sz w:val="24"/>
          <w:szCs w:val="24"/>
        </w:rPr>
        <w:t xml:space="preserve">La filosofia di Hegel è una conciliazione della rovina(…) La sua affermazione è contemporanea all’inizio di un declino in cui tutto si trova in dissoluzione </w:t>
      </w:r>
      <w:r>
        <w:rPr>
          <w:rFonts w:ascii="Times New Roman" w:hAnsi="Times New Roman" w:cs="Times New Roman"/>
          <w:sz w:val="24"/>
          <w:szCs w:val="24"/>
        </w:rPr>
        <w:t xml:space="preserve">e aspira a qualcosa di </w:t>
      </w:r>
      <w:r>
        <w:rPr>
          <w:rFonts w:ascii="Times New Roman" w:hAnsi="Times New Roman" w:cs="Times New Roman"/>
          <w:sz w:val="24"/>
          <w:szCs w:val="24"/>
        </w:rPr>
        <w:lastRenderedPageBreak/>
        <w:t>nuovo»</w:t>
      </w:r>
      <w:r>
        <w:rPr>
          <w:rStyle w:val="Rimandonotaapidipagina"/>
          <w:rFonts w:ascii="Times New Roman" w:hAnsi="Times New Roman" w:cs="Times New Roman"/>
          <w:sz w:val="24"/>
          <w:szCs w:val="24"/>
        </w:rPr>
        <w:footnoteReference w:id="5"/>
      </w:r>
      <w:r w:rsidR="0019122C">
        <w:rPr>
          <w:rFonts w:ascii="Times New Roman" w:hAnsi="Times New Roman" w:cs="Times New Roman"/>
          <w:sz w:val="24"/>
          <w:szCs w:val="24"/>
        </w:rPr>
        <w:t>. In questa</w:t>
      </w:r>
      <w:r w:rsidR="00D7674A">
        <w:rPr>
          <w:rFonts w:ascii="Times New Roman" w:hAnsi="Times New Roman" w:cs="Times New Roman"/>
          <w:sz w:val="24"/>
          <w:szCs w:val="24"/>
        </w:rPr>
        <w:t xml:space="preserve"> chiara impossibilità di una via d’uscita del sistema Hegelia</w:t>
      </w:r>
      <w:r w:rsidR="00CB2551">
        <w:rPr>
          <w:rFonts w:ascii="Times New Roman" w:hAnsi="Times New Roman" w:cs="Times New Roman"/>
          <w:sz w:val="24"/>
          <w:szCs w:val="24"/>
        </w:rPr>
        <w:t>no sta l’attualizzarsi di un Ni</w:t>
      </w:r>
      <w:r w:rsidR="00D7674A">
        <w:rPr>
          <w:rFonts w:ascii="Times New Roman" w:hAnsi="Times New Roman" w:cs="Times New Roman"/>
          <w:sz w:val="24"/>
          <w:szCs w:val="24"/>
        </w:rPr>
        <w:t>chilismo che aleggiava già in potenza nel pen</w:t>
      </w:r>
      <w:r w:rsidR="00CB2551">
        <w:rPr>
          <w:rFonts w:ascii="Times New Roman" w:hAnsi="Times New Roman" w:cs="Times New Roman"/>
          <w:sz w:val="24"/>
          <w:szCs w:val="24"/>
        </w:rPr>
        <w:t>siero europeo</w:t>
      </w:r>
      <w:r w:rsidR="00D7674A">
        <w:rPr>
          <w:rFonts w:ascii="Times New Roman" w:hAnsi="Times New Roman" w:cs="Times New Roman"/>
          <w:sz w:val="24"/>
          <w:szCs w:val="24"/>
        </w:rPr>
        <w:t xml:space="preserve"> </w:t>
      </w:r>
      <w:r w:rsidR="00383638">
        <w:rPr>
          <w:rFonts w:ascii="Times New Roman" w:hAnsi="Times New Roman" w:cs="Times New Roman"/>
          <w:sz w:val="24"/>
          <w:szCs w:val="24"/>
        </w:rPr>
        <w:t xml:space="preserve">e </w:t>
      </w:r>
      <w:r w:rsidR="00D7674A">
        <w:rPr>
          <w:rFonts w:ascii="Times New Roman" w:hAnsi="Times New Roman" w:cs="Times New Roman"/>
          <w:sz w:val="24"/>
          <w:szCs w:val="24"/>
        </w:rPr>
        <w:t xml:space="preserve">di conseguenza anche nella sua filosofia. </w:t>
      </w:r>
    </w:p>
    <w:p w:rsidR="00002FB8" w:rsidRDefault="00D7674A"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Con Hegel allora finisce u</w:t>
      </w:r>
      <w:r w:rsidR="00432A34">
        <w:rPr>
          <w:rFonts w:ascii="Times New Roman" w:hAnsi="Times New Roman" w:cs="Times New Roman"/>
          <w:sz w:val="24"/>
          <w:szCs w:val="24"/>
        </w:rPr>
        <w:t>n</w:t>
      </w:r>
      <w:r>
        <w:rPr>
          <w:rFonts w:ascii="Times New Roman" w:hAnsi="Times New Roman" w:cs="Times New Roman"/>
          <w:sz w:val="24"/>
          <w:szCs w:val="24"/>
        </w:rPr>
        <w:t>’epoca dell’Europa e successivamente a lui la «sinistra hegeliana» trasformerà la sua conciliazione in critica, sull</w:t>
      </w:r>
      <w:r w:rsidR="00CB2551">
        <w:rPr>
          <w:rFonts w:ascii="Times New Roman" w:hAnsi="Times New Roman" w:cs="Times New Roman"/>
          <w:sz w:val="24"/>
          <w:szCs w:val="24"/>
        </w:rPr>
        <w:t>a scia di un veloce dischiudersi del ni</w:t>
      </w:r>
      <w:r>
        <w:rPr>
          <w:rFonts w:ascii="Times New Roman" w:hAnsi="Times New Roman" w:cs="Times New Roman"/>
          <w:sz w:val="24"/>
          <w:szCs w:val="24"/>
        </w:rPr>
        <w:t xml:space="preserve">chilismo. </w:t>
      </w:r>
      <w:r w:rsidR="0019122C">
        <w:rPr>
          <w:rFonts w:ascii="Times New Roman" w:hAnsi="Times New Roman" w:cs="Times New Roman"/>
          <w:sz w:val="24"/>
          <w:szCs w:val="24"/>
        </w:rPr>
        <w:t xml:space="preserve">A questo punto, </w:t>
      </w:r>
      <w:r>
        <w:rPr>
          <w:rFonts w:ascii="Times New Roman" w:hAnsi="Times New Roman" w:cs="Times New Roman"/>
          <w:sz w:val="24"/>
          <w:szCs w:val="24"/>
        </w:rPr>
        <w:t xml:space="preserve">Löwith chiama in </w:t>
      </w:r>
      <w:r w:rsidR="00432A34">
        <w:rPr>
          <w:rFonts w:ascii="Times New Roman" w:hAnsi="Times New Roman" w:cs="Times New Roman"/>
          <w:sz w:val="24"/>
          <w:szCs w:val="24"/>
        </w:rPr>
        <w:t>causa Marx e Kierkegaard per</w:t>
      </w:r>
      <w:r>
        <w:rPr>
          <w:rFonts w:ascii="Times New Roman" w:hAnsi="Times New Roman" w:cs="Times New Roman"/>
          <w:sz w:val="24"/>
          <w:szCs w:val="24"/>
        </w:rPr>
        <w:t xml:space="preserve"> mostrarci come con essi la mediazione razionale compiuta da Hegel entra in crisi.</w:t>
      </w:r>
      <w:r w:rsidR="00D8416A">
        <w:rPr>
          <w:rFonts w:ascii="Times New Roman" w:hAnsi="Times New Roman" w:cs="Times New Roman"/>
          <w:sz w:val="24"/>
          <w:szCs w:val="24"/>
        </w:rPr>
        <w:t xml:space="preserve"> Quest’ultima non è più efficac</w:t>
      </w:r>
      <w:r w:rsidR="00432A34">
        <w:rPr>
          <w:rFonts w:ascii="Times New Roman" w:hAnsi="Times New Roman" w:cs="Times New Roman"/>
          <w:sz w:val="24"/>
          <w:szCs w:val="24"/>
        </w:rPr>
        <w:t>i</w:t>
      </w:r>
      <w:r w:rsidR="00D8416A">
        <w:rPr>
          <w:rFonts w:ascii="Times New Roman" w:hAnsi="Times New Roman" w:cs="Times New Roman"/>
          <w:sz w:val="24"/>
          <w:szCs w:val="24"/>
        </w:rPr>
        <w:t>e ed iniziano ad essere presi in c</w:t>
      </w:r>
      <w:r w:rsidR="00FD72FA">
        <w:rPr>
          <w:rFonts w:ascii="Times New Roman" w:hAnsi="Times New Roman" w:cs="Times New Roman"/>
          <w:sz w:val="24"/>
          <w:szCs w:val="24"/>
        </w:rPr>
        <w:t>onsiderazione dei lati dell’umano</w:t>
      </w:r>
      <w:r w:rsidR="00D8416A">
        <w:rPr>
          <w:rFonts w:ascii="Times New Roman" w:hAnsi="Times New Roman" w:cs="Times New Roman"/>
          <w:sz w:val="24"/>
          <w:szCs w:val="24"/>
        </w:rPr>
        <w:t xml:space="preserve"> che non sono più di </w:t>
      </w:r>
      <w:r w:rsidR="00FD72FA">
        <w:rPr>
          <w:rFonts w:ascii="Times New Roman" w:hAnsi="Times New Roman" w:cs="Times New Roman"/>
          <w:sz w:val="24"/>
          <w:szCs w:val="24"/>
        </w:rPr>
        <w:t xml:space="preserve">solo </w:t>
      </w:r>
      <w:r w:rsidR="00D8416A">
        <w:rPr>
          <w:rFonts w:ascii="Times New Roman" w:hAnsi="Times New Roman" w:cs="Times New Roman"/>
          <w:sz w:val="24"/>
          <w:szCs w:val="24"/>
        </w:rPr>
        <w:t xml:space="preserve">interesse teorico, ma </w:t>
      </w:r>
      <w:r w:rsidR="00FD72FA">
        <w:rPr>
          <w:rFonts w:ascii="Times New Roman" w:hAnsi="Times New Roman" w:cs="Times New Roman"/>
          <w:sz w:val="24"/>
          <w:szCs w:val="24"/>
        </w:rPr>
        <w:t xml:space="preserve">piuttosto </w:t>
      </w:r>
      <w:r w:rsidR="00D8416A">
        <w:rPr>
          <w:rFonts w:ascii="Times New Roman" w:hAnsi="Times New Roman" w:cs="Times New Roman"/>
          <w:sz w:val="24"/>
          <w:szCs w:val="24"/>
        </w:rPr>
        <w:t>pratico.</w:t>
      </w:r>
      <w:r w:rsidR="00E2557C" w:rsidRPr="00E2557C">
        <w:rPr>
          <w:rFonts w:ascii="Times New Roman" w:hAnsi="Times New Roman" w:cs="Times New Roman"/>
          <w:sz w:val="24"/>
          <w:szCs w:val="24"/>
        </w:rPr>
        <w:t xml:space="preserve"> </w:t>
      </w:r>
      <w:r w:rsidR="00E2557C">
        <w:rPr>
          <w:rFonts w:ascii="Times New Roman" w:hAnsi="Times New Roman" w:cs="Times New Roman"/>
          <w:sz w:val="24"/>
          <w:szCs w:val="24"/>
        </w:rPr>
        <w:t>L’uomo è ora in balia de</w:t>
      </w:r>
      <w:r w:rsidR="00FD72FA">
        <w:rPr>
          <w:rFonts w:ascii="Times New Roman" w:hAnsi="Times New Roman" w:cs="Times New Roman"/>
          <w:sz w:val="24"/>
          <w:szCs w:val="24"/>
        </w:rPr>
        <w:t>ll’accadere e del possibile e questa</w:t>
      </w:r>
      <w:r w:rsidR="00E2557C">
        <w:rPr>
          <w:rFonts w:ascii="Times New Roman" w:hAnsi="Times New Roman" w:cs="Times New Roman"/>
          <w:sz w:val="24"/>
          <w:szCs w:val="24"/>
        </w:rPr>
        <w:t xml:space="preserve"> critica separa ciò che Hegel aveva unito: ciò che è realtà non è detto sia più razionalità.</w:t>
      </w:r>
      <w:r w:rsidR="004100A3">
        <w:rPr>
          <w:rFonts w:ascii="Times New Roman" w:hAnsi="Times New Roman" w:cs="Times New Roman"/>
          <w:sz w:val="24"/>
          <w:szCs w:val="24"/>
        </w:rPr>
        <w:t xml:space="preserve"> Marx compie la rottura con un pensiero esclusivamente puro attraverso la sua teoria della prassi sociale, mentre Kierkegaard con la rivalutazione dell’agire etico. </w:t>
      </w:r>
    </w:p>
    <w:p w:rsidR="00E2557C" w:rsidRDefault="00E2557C"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Le filosofie dei due pensatori, come ben si conosce, apportano infatti una critica nei confronti rispettivamente del mondo borghese-capitalista e del cristianesimo corrotto.</w:t>
      </w:r>
      <w:r w:rsidR="00423596">
        <w:rPr>
          <w:rFonts w:ascii="Times New Roman" w:hAnsi="Times New Roman" w:cs="Times New Roman"/>
          <w:sz w:val="24"/>
          <w:szCs w:val="24"/>
        </w:rPr>
        <w:t xml:space="preserve"> Entrambe le concl</w:t>
      </w:r>
      <w:r w:rsidR="00432A34">
        <w:rPr>
          <w:rFonts w:ascii="Times New Roman" w:hAnsi="Times New Roman" w:cs="Times New Roman"/>
          <w:sz w:val="24"/>
          <w:szCs w:val="24"/>
        </w:rPr>
        <w:t>usioni delle loro filosofie si sono rivelate</w:t>
      </w:r>
      <w:r w:rsidR="00423596">
        <w:rPr>
          <w:rFonts w:ascii="Times New Roman" w:hAnsi="Times New Roman" w:cs="Times New Roman"/>
          <w:sz w:val="24"/>
          <w:szCs w:val="24"/>
        </w:rPr>
        <w:t xml:space="preserve"> negative per Lö</w:t>
      </w:r>
      <w:r w:rsidR="00647865">
        <w:rPr>
          <w:rFonts w:ascii="Times New Roman" w:hAnsi="Times New Roman" w:cs="Times New Roman"/>
          <w:sz w:val="24"/>
          <w:szCs w:val="24"/>
        </w:rPr>
        <w:t>with;</w:t>
      </w:r>
      <w:r w:rsidR="00423596">
        <w:rPr>
          <w:rFonts w:ascii="Times New Roman" w:hAnsi="Times New Roman" w:cs="Times New Roman"/>
          <w:sz w:val="24"/>
          <w:szCs w:val="24"/>
        </w:rPr>
        <w:t xml:space="preserve"> Marx</w:t>
      </w:r>
      <w:r w:rsidR="00647865">
        <w:rPr>
          <w:rFonts w:ascii="Times New Roman" w:hAnsi="Times New Roman" w:cs="Times New Roman"/>
          <w:sz w:val="24"/>
          <w:szCs w:val="24"/>
        </w:rPr>
        <w:t xml:space="preserve"> </w:t>
      </w:r>
      <w:r w:rsidR="00423596">
        <w:rPr>
          <w:rFonts w:ascii="Times New Roman" w:hAnsi="Times New Roman" w:cs="Times New Roman"/>
          <w:sz w:val="24"/>
          <w:szCs w:val="24"/>
        </w:rPr>
        <w:t>dava per «spacciato» il capitalismo mentre Kierkegaard si lasciava ad una fede disperata.</w:t>
      </w:r>
      <w:r>
        <w:rPr>
          <w:rFonts w:ascii="Times New Roman" w:hAnsi="Times New Roman" w:cs="Times New Roman"/>
          <w:sz w:val="24"/>
          <w:szCs w:val="24"/>
        </w:rPr>
        <w:t xml:space="preserve"> </w:t>
      </w:r>
      <w:r w:rsidR="00423596">
        <w:rPr>
          <w:rFonts w:ascii="Times New Roman" w:hAnsi="Times New Roman" w:cs="Times New Roman"/>
          <w:sz w:val="24"/>
          <w:szCs w:val="24"/>
        </w:rPr>
        <w:t>Quindi dopo Hegel secondo Löwith gli impianti filosofici cominciano la deriva verso il nichilismo comprendente la fine di tutti quei valori e di quelle ce</w:t>
      </w:r>
      <w:r w:rsidR="00647865">
        <w:rPr>
          <w:rFonts w:ascii="Times New Roman" w:hAnsi="Times New Roman" w:cs="Times New Roman"/>
          <w:sz w:val="24"/>
          <w:szCs w:val="24"/>
        </w:rPr>
        <w:t>rtezze sino ad allora regol</w:t>
      </w:r>
      <w:r w:rsidR="00423596">
        <w:rPr>
          <w:rFonts w:ascii="Times New Roman" w:hAnsi="Times New Roman" w:cs="Times New Roman"/>
          <w:sz w:val="24"/>
          <w:szCs w:val="24"/>
        </w:rPr>
        <w:t>atrici del pensiero. È qui che Löwith ci parla allora di Nietzsche come quel pr</w:t>
      </w:r>
      <w:r w:rsidR="00647865">
        <w:rPr>
          <w:rFonts w:ascii="Times New Roman" w:hAnsi="Times New Roman" w:cs="Times New Roman"/>
          <w:sz w:val="24"/>
          <w:szCs w:val="24"/>
        </w:rPr>
        <w:t>imo effettivo interprete del ni</w:t>
      </w:r>
      <w:r w:rsidR="00423596">
        <w:rPr>
          <w:rFonts w:ascii="Times New Roman" w:hAnsi="Times New Roman" w:cs="Times New Roman"/>
          <w:sz w:val="24"/>
          <w:szCs w:val="24"/>
        </w:rPr>
        <w:t xml:space="preserve">chilismo europeo. </w:t>
      </w:r>
    </w:p>
    <w:p w:rsidR="001872DD" w:rsidRDefault="00423596"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Löwith cita l’opera Nietzsch</w:t>
      </w:r>
      <w:r w:rsidR="00647865">
        <w:rPr>
          <w:rFonts w:ascii="Times New Roman" w:hAnsi="Times New Roman" w:cs="Times New Roman"/>
          <w:sz w:val="24"/>
          <w:szCs w:val="24"/>
        </w:rPr>
        <w:t>i</w:t>
      </w:r>
      <w:r>
        <w:rPr>
          <w:rFonts w:ascii="Times New Roman" w:hAnsi="Times New Roman" w:cs="Times New Roman"/>
          <w:sz w:val="24"/>
          <w:szCs w:val="24"/>
        </w:rPr>
        <w:t xml:space="preserve">ana </w:t>
      </w:r>
      <w:r w:rsidRPr="00423596">
        <w:rPr>
          <w:rFonts w:ascii="Times New Roman" w:hAnsi="Times New Roman" w:cs="Times New Roman"/>
          <w:i/>
          <w:sz w:val="24"/>
          <w:szCs w:val="24"/>
        </w:rPr>
        <w:t>Ecce Hom</w:t>
      </w:r>
      <w:r w:rsidR="001872DD">
        <w:rPr>
          <w:rFonts w:ascii="Times New Roman" w:hAnsi="Times New Roman" w:cs="Times New Roman"/>
          <w:i/>
          <w:sz w:val="24"/>
          <w:szCs w:val="24"/>
        </w:rPr>
        <w:t xml:space="preserve">o, </w:t>
      </w:r>
      <w:r w:rsidR="001872DD">
        <w:rPr>
          <w:rFonts w:ascii="Times New Roman" w:hAnsi="Times New Roman" w:cs="Times New Roman"/>
          <w:sz w:val="24"/>
          <w:szCs w:val="24"/>
        </w:rPr>
        <w:t>dove N</w:t>
      </w:r>
      <w:r w:rsidR="00647865">
        <w:rPr>
          <w:rFonts w:ascii="Times New Roman" w:hAnsi="Times New Roman" w:cs="Times New Roman"/>
          <w:sz w:val="24"/>
          <w:szCs w:val="24"/>
        </w:rPr>
        <w:t>ietzsche di</w:t>
      </w:r>
      <w:r w:rsidR="001872DD">
        <w:rPr>
          <w:rFonts w:ascii="Times New Roman" w:hAnsi="Times New Roman" w:cs="Times New Roman"/>
          <w:sz w:val="24"/>
          <w:szCs w:val="24"/>
        </w:rPr>
        <w:t>chiarava la sua consapevolezza di trovarsi a metà strada tra una fine ed un nuovo inizio: «Egli sapeva di essere nello stesso tempo una caduta ed una ascesa, una fine ed un inizio</w:t>
      </w:r>
      <w:r w:rsidR="0095249F">
        <w:rPr>
          <w:rFonts w:ascii="Times New Roman" w:hAnsi="Times New Roman" w:cs="Times New Roman"/>
          <w:sz w:val="24"/>
          <w:szCs w:val="24"/>
        </w:rPr>
        <w:t>»</w:t>
      </w:r>
      <w:r w:rsidR="0095249F">
        <w:rPr>
          <w:rStyle w:val="Rimandonotaapidipagina"/>
          <w:rFonts w:ascii="Times New Roman" w:hAnsi="Times New Roman" w:cs="Times New Roman"/>
          <w:sz w:val="24"/>
          <w:szCs w:val="24"/>
        </w:rPr>
        <w:footnoteReference w:id="6"/>
      </w:r>
      <w:r w:rsidR="0095249F">
        <w:rPr>
          <w:rFonts w:ascii="Times New Roman" w:hAnsi="Times New Roman" w:cs="Times New Roman"/>
          <w:sz w:val="24"/>
          <w:szCs w:val="24"/>
        </w:rPr>
        <w:t>; si sentiva «decadé</w:t>
      </w:r>
      <w:r w:rsidR="001872DD">
        <w:rPr>
          <w:rFonts w:ascii="Times New Roman" w:hAnsi="Times New Roman" w:cs="Times New Roman"/>
          <w:sz w:val="24"/>
          <w:szCs w:val="24"/>
        </w:rPr>
        <w:t>nt ed inizio al tempo stesso</w:t>
      </w:r>
      <w:r w:rsidR="0095249F">
        <w:rPr>
          <w:rFonts w:ascii="Times New Roman" w:hAnsi="Times New Roman" w:cs="Times New Roman"/>
          <w:sz w:val="24"/>
          <w:szCs w:val="24"/>
        </w:rPr>
        <w:t>»</w:t>
      </w:r>
      <w:r w:rsidR="0095249F">
        <w:rPr>
          <w:rStyle w:val="Rimandonotaapidipagina"/>
          <w:rFonts w:ascii="Times New Roman" w:hAnsi="Times New Roman" w:cs="Times New Roman"/>
          <w:sz w:val="24"/>
          <w:szCs w:val="24"/>
        </w:rPr>
        <w:footnoteReference w:id="7"/>
      </w:r>
      <w:r w:rsidR="00140F36">
        <w:rPr>
          <w:rFonts w:ascii="Times New Roman" w:hAnsi="Times New Roman" w:cs="Times New Roman"/>
          <w:sz w:val="24"/>
          <w:szCs w:val="24"/>
        </w:rPr>
        <w:t xml:space="preserve">. </w:t>
      </w:r>
      <w:r w:rsidR="00647865">
        <w:rPr>
          <w:rFonts w:ascii="Times New Roman" w:hAnsi="Times New Roman" w:cs="Times New Roman"/>
          <w:sz w:val="24"/>
          <w:szCs w:val="24"/>
        </w:rPr>
        <w:t>Egli sentiva il ni</w:t>
      </w:r>
      <w:r w:rsidR="00140F36">
        <w:rPr>
          <w:rFonts w:ascii="Times New Roman" w:hAnsi="Times New Roman" w:cs="Times New Roman"/>
          <w:sz w:val="24"/>
          <w:szCs w:val="24"/>
        </w:rPr>
        <w:t>chilismo appropriarsi di tutto ciò che per l’europeo sino ad allora era verità.</w:t>
      </w:r>
      <w:r w:rsidR="00121DA6">
        <w:rPr>
          <w:rFonts w:ascii="Times New Roman" w:hAnsi="Times New Roman" w:cs="Times New Roman"/>
          <w:sz w:val="24"/>
          <w:szCs w:val="24"/>
        </w:rPr>
        <w:t xml:space="preserve"> </w:t>
      </w:r>
      <w:r w:rsidR="00140F36">
        <w:rPr>
          <w:rFonts w:ascii="Times New Roman" w:hAnsi="Times New Roman" w:cs="Times New Roman"/>
          <w:sz w:val="24"/>
          <w:szCs w:val="24"/>
        </w:rPr>
        <w:t>Nietzsche esplicita una «trasvalutazione dei valori» che era per lui già implicita nella storia dello spirito europeo, la analizza e capisce che ormai è questa l’afflizione dell’Europa.</w:t>
      </w:r>
    </w:p>
    <w:p w:rsidR="00140F36" w:rsidRDefault="00140F36"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Löwith sostiene la capacità di analisi Nietzsch</w:t>
      </w:r>
      <w:r w:rsidR="00121DA6">
        <w:rPr>
          <w:rFonts w:ascii="Times New Roman" w:hAnsi="Times New Roman" w:cs="Times New Roman"/>
          <w:sz w:val="24"/>
          <w:szCs w:val="24"/>
        </w:rPr>
        <w:t>i</w:t>
      </w:r>
      <w:r>
        <w:rPr>
          <w:rFonts w:ascii="Times New Roman" w:hAnsi="Times New Roman" w:cs="Times New Roman"/>
          <w:sz w:val="24"/>
          <w:szCs w:val="24"/>
        </w:rPr>
        <w:t xml:space="preserve">ana della realtà, ma quanto al suo tentativo </w:t>
      </w:r>
      <w:r w:rsidR="001D5300">
        <w:rPr>
          <w:rFonts w:ascii="Times New Roman" w:hAnsi="Times New Roman" w:cs="Times New Roman"/>
          <w:sz w:val="24"/>
          <w:szCs w:val="24"/>
        </w:rPr>
        <w:t>di risvo</w:t>
      </w:r>
      <w:r w:rsidR="00CD719E">
        <w:rPr>
          <w:rFonts w:ascii="Times New Roman" w:hAnsi="Times New Roman" w:cs="Times New Roman"/>
          <w:sz w:val="24"/>
          <w:szCs w:val="24"/>
        </w:rPr>
        <w:t>ltare in maniera positiva il ni</w:t>
      </w:r>
      <w:r w:rsidR="001D5300">
        <w:rPr>
          <w:rFonts w:ascii="Times New Roman" w:hAnsi="Times New Roman" w:cs="Times New Roman"/>
          <w:sz w:val="24"/>
          <w:szCs w:val="24"/>
        </w:rPr>
        <w:t xml:space="preserve">chilismo con la dottrina dell’eterno ritorno e della volontà di potenza, egli non si trova propriamente d’accordo. </w:t>
      </w:r>
      <w:r w:rsidR="00D45A14">
        <w:rPr>
          <w:rFonts w:ascii="Times New Roman" w:hAnsi="Times New Roman" w:cs="Times New Roman"/>
          <w:sz w:val="24"/>
          <w:szCs w:val="24"/>
        </w:rPr>
        <w:t>La soluzione dell’impianto filosofico Nietzsch</w:t>
      </w:r>
      <w:r w:rsidR="00121DA6">
        <w:rPr>
          <w:rFonts w:ascii="Times New Roman" w:hAnsi="Times New Roman" w:cs="Times New Roman"/>
          <w:sz w:val="24"/>
          <w:szCs w:val="24"/>
        </w:rPr>
        <w:t>i</w:t>
      </w:r>
      <w:r w:rsidR="00D45A14">
        <w:rPr>
          <w:rFonts w:ascii="Times New Roman" w:hAnsi="Times New Roman" w:cs="Times New Roman"/>
          <w:sz w:val="24"/>
          <w:szCs w:val="24"/>
        </w:rPr>
        <w:t xml:space="preserve">ano </w:t>
      </w:r>
      <w:r w:rsidR="00383638">
        <w:rPr>
          <w:rFonts w:ascii="Times New Roman" w:hAnsi="Times New Roman" w:cs="Times New Roman"/>
          <w:sz w:val="24"/>
          <w:szCs w:val="24"/>
        </w:rPr>
        <w:t xml:space="preserve">è </w:t>
      </w:r>
      <w:r w:rsidR="00D45A14">
        <w:rPr>
          <w:rFonts w:ascii="Times New Roman" w:hAnsi="Times New Roman" w:cs="Times New Roman"/>
          <w:sz w:val="24"/>
          <w:szCs w:val="24"/>
        </w:rPr>
        <w:t xml:space="preserve">la «volontà di potenza» che vuole distruggere i vecchi valori per farne di nuovi, abbandonando cioè la </w:t>
      </w:r>
      <w:r w:rsidR="00383638">
        <w:rPr>
          <w:rFonts w:ascii="Times New Roman" w:hAnsi="Times New Roman" w:cs="Times New Roman"/>
          <w:sz w:val="24"/>
          <w:szCs w:val="24"/>
        </w:rPr>
        <w:t>«</w:t>
      </w:r>
      <w:r w:rsidR="00D45A14">
        <w:rPr>
          <w:rFonts w:ascii="Times New Roman" w:hAnsi="Times New Roman" w:cs="Times New Roman"/>
          <w:sz w:val="24"/>
          <w:szCs w:val="24"/>
        </w:rPr>
        <w:t>volontà di valori</w:t>
      </w:r>
      <w:r w:rsidR="00383638">
        <w:rPr>
          <w:rFonts w:ascii="Times New Roman" w:hAnsi="Times New Roman" w:cs="Times New Roman"/>
          <w:sz w:val="24"/>
          <w:szCs w:val="24"/>
        </w:rPr>
        <w:t>»</w:t>
      </w:r>
      <w:r w:rsidR="00D45A14">
        <w:rPr>
          <w:rFonts w:ascii="Times New Roman" w:hAnsi="Times New Roman" w:cs="Times New Roman"/>
          <w:sz w:val="24"/>
          <w:szCs w:val="24"/>
        </w:rPr>
        <w:t xml:space="preserve"> per la </w:t>
      </w:r>
      <w:r w:rsidR="00383638">
        <w:rPr>
          <w:rFonts w:ascii="Times New Roman" w:hAnsi="Times New Roman" w:cs="Times New Roman"/>
          <w:sz w:val="24"/>
          <w:szCs w:val="24"/>
        </w:rPr>
        <w:t>«</w:t>
      </w:r>
      <w:r w:rsidR="00D45A14">
        <w:rPr>
          <w:rFonts w:ascii="Times New Roman" w:hAnsi="Times New Roman" w:cs="Times New Roman"/>
          <w:sz w:val="24"/>
          <w:szCs w:val="24"/>
        </w:rPr>
        <w:t>volontà del nulla</w:t>
      </w:r>
      <w:r w:rsidR="00383638">
        <w:rPr>
          <w:rFonts w:ascii="Times New Roman" w:hAnsi="Times New Roman" w:cs="Times New Roman"/>
          <w:sz w:val="24"/>
          <w:szCs w:val="24"/>
        </w:rPr>
        <w:t>»</w:t>
      </w:r>
      <w:r w:rsidR="00D45A14">
        <w:rPr>
          <w:rFonts w:ascii="Times New Roman" w:hAnsi="Times New Roman" w:cs="Times New Roman"/>
          <w:sz w:val="24"/>
          <w:szCs w:val="24"/>
        </w:rPr>
        <w:t>. A suo giudizio, Löwith, crede che il tentativo Nietzsch</w:t>
      </w:r>
      <w:r w:rsidR="00121DA6">
        <w:rPr>
          <w:rFonts w:ascii="Times New Roman" w:hAnsi="Times New Roman" w:cs="Times New Roman"/>
          <w:sz w:val="24"/>
          <w:szCs w:val="24"/>
        </w:rPr>
        <w:t>i</w:t>
      </w:r>
      <w:r w:rsidR="00D45A14">
        <w:rPr>
          <w:rFonts w:ascii="Times New Roman" w:hAnsi="Times New Roman" w:cs="Times New Roman"/>
          <w:sz w:val="24"/>
          <w:szCs w:val="24"/>
        </w:rPr>
        <w:t>ano di andare oltre le logiche del soggettivismo occidentale che produssero questi vecchi valori</w:t>
      </w:r>
      <w:r w:rsidR="00E134F1">
        <w:rPr>
          <w:rFonts w:ascii="Times New Roman" w:hAnsi="Times New Roman" w:cs="Times New Roman"/>
          <w:sz w:val="24"/>
          <w:szCs w:val="24"/>
        </w:rPr>
        <w:t>,</w:t>
      </w:r>
      <w:r w:rsidR="00D45A14">
        <w:rPr>
          <w:rFonts w:ascii="Times New Roman" w:hAnsi="Times New Roman" w:cs="Times New Roman"/>
          <w:sz w:val="24"/>
          <w:szCs w:val="24"/>
        </w:rPr>
        <w:t xml:space="preserve"> rimane comunque dentro una tipica logica della soggettività.</w:t>
      </w:r>
    </w:p>
    <w:p w:rsidR="00D45A14" w:rsidRDefault="00D45A14"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Nietzsche non supera allora la </w:t>
      </w:r>
      <w:r w:rsidR="0019122C">
        <w:rPr>
          <w:rFonts w:ascii="Times New Roman" w:hAnsi="Times New Roman" w:cs="Times New Roman"/>
          <w:sz w:val="24"/>
          <w:szCs w:val="24"/>
        </w:rPr>
        <w:t>tradizione europea. Di esso</w:t>
      </w:r>
      <w:r>
        <w:rPr>
          <w:rFonts w:ascii="Times New Roman" w:hAnsi="Times New Roman" w:cs="Times New Roman"/>
          <w:sz w:val="24"/>
          <w:szCs w:val="24"/>
        </w:rPr>
        <w:t xml:space="preserve"> rimane</w:t>
      </w:r>
      <w:r w:rsidR="00966BFA">
        <w:rPr>
          <w:rFonts w:ascii="Times New Roman" w:hAnsi="Times New Roman" w:cs="Times New Roman"/>
          <w:sz w:val="24"/>
          <w:szCs w:val="24"/>
        </w:rPr>
        <w:t xml:space="preserve"> il suo «Io voglio» contro il «Tu devi»</w:t>
      </w:r>
      <w:r w:rsidR="00F464D5">
        <w:rPr>
          <w:rFonts w:ascii="Times New Roman" w:hAnsi="Times New Roman" w:cs="Times New Roman"/>
          <w:sz w:val="24"/>
          <w:szCs w:val="24"/>
        </w:rPr>
        <w:t xml:space="preserve">, ciò che viene colto della sua filosofia è una volontà di soppiantare ciò che ha portato l’Europa alla sua rovina spirituale, attraverso una manifestazione di forza contro ciò </w:t>
      </w:r>
      <w:r w:rsidR="00121DA6">
        <w:rPr>
          <w:rFonts w:ascii="Times New Roman" w:hAnsi="Times New Roman" w:cs="Times New Roman"/>
          <w:sz w:val="24"/>
          <w:szCs w:val="24"/>
        </w:rPr>
        <w:t xml:space="preserve">che </w:t>
      </w:r>
      <w:r w:rsidR="00F464D5">
        <w:rPr>
          <w:rFonts w:ascii="Times New Roman" w:hAnsi="Times New Roman" w:cs="Times New Roman"/>
          <w:sz w:val="24"/>
          <w:szCs w:val="24"/>
        </w:rPr>
        <w:t>era invece considerato più debole o meschino. Su questa via è stata così aperta la strada alla volontà di potenza propria di uno dei fenomeni più violenti e dominanti del XX secolo: il Terzo Reich. Come Löwith tiene a precisare, Nietzsche in realtà non si schierò mai dalla parte di questa logica di dominio che trovò il suo culmine nel nazismo, né volle mai essere un precursore di un movimento simile; inconsapevolmente però si mosse su questa via e ne rese più facile il suo avvento</w:t>
      </w:r>
      <w:r w:rsidR="00E134F1">
        <w:rPr>
          <w:rFonts w:ascii="Times New Roman" w:hAnsi="Times New Roman" w:cs="Times New Roman"/>
          <w:sz w:val="24"/>
          <w:szCs w:val="24"/>
        </w:rPr>
        <w:t>.</w:t>
      </w:r>
      <w:r w:rsidR="00F464D5">
        <w:rPr>
          <w:rFonts w:ascii="Times New Roman" w:hAnsi="Times New Roman" w:cs="Times New Roman"/>
          <w:sz w:val="24"/>
          <w:szCs w:val="24"/>
        </w:rPr>
        <w:t xml:space="preserve"> </w:t>
      </w:r>
    </w:p>
    <w:p w:rsidR="00121DA6" w:rsidRDefault="00CD719E"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Con questo terzo capitolo appena riassunto si conclude la prima parte dell’opera di Löwith. La seconda parte è aperta da un p</w:t>
      </w:r>
      <w:r w:rsidR="0093443E">
        <w:rPr>
          <w:rFonts w:ascii="Times New Roman" w:hAnsi="Times New Roman" w:cs="Times New Roman"/>
          <w:sz w:val="24"/>
          <w:szCs w:val="24"/>
        </w:rPr>
        <w:t>iccolo capitolo dove esso denota come la filosofia c</w:t>
      </w:r>
      <w:r w:rsidR="00E134F1">
        <w:rPr>
          <w:rFonts w:ascii="Times New Roman" w:hAnsi="Times New Roman" w:cs="Times New Roman"/>
          <w:sz w:val="24"/>
          <w:szCs w:val="24"/>
        </w:rPr>
        <w:t>lassica tedesca abbia influito ne</w:t>
      </w:r>
      <w:r w:rsidR="0093443E">
        <w:rPr>
          <w:rFonts w:ascii="Times New Roman" w:hAnsi="Times New Roman" w:cs="Times New Roman"/>
          <w:sz w:val="24"/>
          <w:szCs w:val="24"/>
        </w:rPr>
        <w:t>lla successiva rivoluzione politica della Germania.</w:t>
      </w:r>
    </w:p>
    <w:p w:rsidR="002D5107" w:rsidRDefault="002D5107" w:rsidP="00322D69">
      <w:pPr>
        <w:spacing w:after="0" w:line="360" w:lineRule="auto"/>
        <w:mirrorIndents/>
        <w:jc w:val="both"/>
        <w:rPr>
          <w:rFonts w:ascii="Times New Roman" w:hAnsi="Times New Roman" w:cs="Times New Roman"/>
          <w:sz w:val="24"/>
          <w:szCs w:val="24"/>
        </w:rPr>
      </w:pPr>
    </w:p>
    <w:p w:rsidR="0093443E" w:rsidRDefault="00AF4B38" w:rsidP="00322D69">
      <w:pPr>
        <w:spacing w:after="0" w:line="360" w:lineRule="auto"/>
        <w:mirrorIndents/>
        <w:jc w:val="both"/>
        <w:rPr>
          <w:rFonts w:ascii="Times New Roman" w:hAnsi="Times New Roman" w:cs="Times New Roman"/>
          <w:sz w:val="32"/>
          <w:szCs w:val="32"/>
        </w:rPr>
      </w:pPr>
      <w:r>
        <w:rPr>
          <w:rFonts w:ascii="Times New Roman" w:hAnsi="Times New Roman" w:cs="Times New Roman"/>
          <w:sz w:val="32"/>
          <w:szCs w:val="32"/>
        </w:rPr>
        <w:t>1</w:t>
      </w:r>
      <w:r w:rsidR="00121DA6" w:rsidRPr="00121DA6">
        <w:rPr>
          <w:rFonts w:ascii="Times New Roman" w:hAnsi="Times New Roman" w:cs="Times New Roman"/>
          <w:sz w:val="32"/>
          <w:szCs w:val="32"/>
        </w:rPr>
        <w:t>-</w:t>
      </w:r>
      <w:r w:rsidR="00121DA6">
        <w:rPr>
          <w:rFonts w:ascii="Times New Roman" w:hAnsi="Times New Roman" w:cs="Times New Roman"/>
          <w:sz w:val="32"/>
          <w:szCs w:val="32"/>
        </w:rPr>
        <w:t xml:space="preserve"> </w:t>
      </w:r>
      <w:r w:rsidR="00121DA6" w:rsidRPr="00121DA6">
        <w:rPr>
          <w:rFonts w:ascii="Times New Roman" w:hAnsi="Times New Roman" w:cs="Times New Roman"/>
          <w:sz w:val="32"/>
          <w:szCs w:val="32"/>
        </w:rPr>
        <w:t>La filosofia classica tedesca e la rivoluzione tedesca</w:t>
      </w:r>
    </w:p>
    <w:p w:rsidR="002D5107" w:rsidRDefault="002D5107" w:rsidP="00322D69">
      <w:pPr>
        <w:spacing w:after="0" w:line="360" w:lineRule="auto"/>
        <w:mirrorIndents/>
        <w:jc w:val="both"/>
        <w:rPr>
          <w:rFonts w:ascii="Times New Roman" w:hAnsi="Times New Roman" w:cs="Times New Roman"/>
          <w:sz w:val="32"/>
          <w:szCs w:val="32"/>
        </w:rPr>
      </w:pPr>
    </w:p>
    <w:p w:rsidR="00445F71" w:rsidRDefault="00BF5F93"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Löwith sostiene che Nietzsche influì sulla r</w:t>
      </w:r>
      <w:r w:rsidR="002A7268">
        <w:rPr>
          <w:rFonts w:ascii="Times New Roman" w:hAnsi="Times New Roman" w:cs="Times New Roman"/>
          <w:sz w:val="24"/>
          <w:szCs w:val="24"/>
        </w:rPr>
        <w:t>ivoluzione spirituale tedesca e quindi europea</w:t>
      </w:r>
      <w:r>
        <w:rPr>
          <w:rFonts w:ascii="Times New Roman" w:hAnsi="Times New Roman" w:cs="Times New Roman"/>
          <w:sz w:val="24"/>
          <w:szCs w:val="24"/>
        </w:rPr>
        <w:t xml:space="preserve"> in maniera chiara, stando ai principi del suo pensiero che avevano una tendenza a filosofare «con il martello». </w:t>
      </w:r>
      <w:r w:rsidR="00EB5BA1">
        <w:rPr>
          <w:rFonts w:ascii="Times New Roman" w:hAnsi="Times New Roman" w:cs="Times New Roman"/>
          <w:sz w:val="24"/>
          <w:szCs w:val="24"/>
        </w:rPr>
        <w:t>Ciò che invece non è evidente è quanto anche i c</w:t>
      </w:r>
      <w:r w:rsidR="00E134F1">
        <w:rPr>
          <w:rFonts w:ascii="Times New Roman" w:hAnsi="Times New Roman" w:cs="Times New Roman"/>
          <w:sz w:val="24"/>
          <w:szCs w:val="24"/>
        </w:rPr>
        <w:t>lassici pensatori tedeschi come</w:t>
      </w:r>
      <w:r w:rsidR="00EB5BA1">
        <w:rPr>
          <w:rFonts w:ascii="Times New Roman" w:hAnsi="Times New Roman" w:cs="Times New Roman"/>
          <w:sz w:val="24"/>
          <w:szCs w:val="24"/>
        </w:rPr>
        <w:t xml:space="preserve"> Kant, Fichte, Shelling ed Hegel</w:t>
      </w:r>
      <w:r w:rsidR="004538A8">
        <w:rPr>
          <w:rFonts w:ascii="Times New Roman" w:hAnsi="Times New Roman" w:cs="Times New Roman"/>
          <w:sz w:val="24"/>
          <w:szCs w:val="24"/>
        </w:rPr>
        <w:t xml:space="preserve"> abbiano influenzato la rivoluzione spirituale tedesca.</w:t>
      </w:r>
      <w:r w:rsidR="00341610" w:rsidRPr="00341610">
        <w:rPr>
          <w:rFonts w:ascii="Times New Roman" w:hAnsi="Times New Roman" w:cs="Times New Roman"/>
          <w:sz w:val="24"/>
          <w:szCs w:val="24"/>
        </w:rPr>
        <w:t xml:space="preserve"> </w:t>
      </w:r>
      <w:r w:rsidR="00341610">
        <w:rPr>
          <w:rFonts w:ascii="Times New Roman" w:hAnsi="Times New Roman" w:cs="Times New Roman"/>
          <w:sz w:val="24"/>
          <w:szCs w:val="24"/>
        </w:rPr>
        <w:t>Emblematica qui è la citazione di Hegel che Löwith riporta nel capitolo: «Mi convinco ogni giorno di più che il lavoro teorico realizza nel mondo più cose di quello pratico; una volta rivoluzionato il regno della rappresentazione, la realtà politica non vi resiste»</w:t>
      </w:r>
      <w:r w:rsidR="00341610">
        <w:rPr>
          <w:rStyle w:val="Rimandonotaapidipagina"/>
          <w:rFonts w:ascii="Times New Roman" w:hAnsi="Times New Roman" w:cs="Times New Roman"/>
          <w:sz w:val="24"/>
          <w:szCs w:val="24"/>
        </w:rPr>
        <w:footnoteReference w:id="8"/>
      </w:r>
      <w:r w:rsidR="00341610">
        <w:rPr>
          <w:rFonts w:ascii="Times New Roman" w:hAnsi="Times New Roman" w:cs="Times New Roman"/>
          <w:sz w:val="24"/>
          <w:szCs w:val="24"/>
        </w:rPr>
        <w:t xml:space="preserve">. </w:t>
      </w:r>
      <w:r w:rsidR="004538A8">
        <w:rPr>
          <w:rFonts w:ascii="Times New Roman" w:hAnsi="Times New Roman" w:cs="Times New Roman"/>
          <w:sz w:val="24"/>
          <w:szCs w:val="24"/>
        </w:rPr>
        <w:t xml:space="preserve"> Lö</w:t>
      </w:r>
      <w:r w:rsidR="00341610">
        <w:rPr>
          <w:rFonts w:ascii="Times New Roman" w:hAnsi="Times New Roman" w:cs="Times New Roman"/>
          <w:sz w:val="24"/>
          <w:szCs w:val="24"/>
        </w:rPr>
        <w:t>with, in questo capitolo si affida soprattutto al</w:t>
      </w:r>
      <w:r w:rsidR="00875692">
        <w:rPr>
          <w:rFonts w:ascii="Times New Roman" w:hAnsi="Times New Roman" w:cs="Times New Roman"/>
          <w:sz w:val="24"/>
          <w:szCs w:val="24"/>
        </w:rPr>
        <w:t xml:space="preserve"> poeta tedesco Heinrich </w:t>
      </w:r>
      <w:r w:rsidR="002D5107">
        <w:rPr>
          <w:rFonts w:ascii="Times New Roman" w:hAnsi="Times New Roman" w:cs="Times New Roman"/>
          <w:sz w:val="24"/>
          <w:szCs w:val="24"/>
        </w:rPr>
        <w:t xml:space="preserve">Heine che nella sua </w:t>
      </w:r>
      <w:r w:rsidR="004538A8">
        <w:rPr>
          <w:rFonts w:ascii="Times New Roman" w:hAnsi="Times New Roman" w:cs="Times New Roman"/>
          <w:sz w:val="24"/>
          <w:szCs w:val="24"/>
        </w:rPr>
        <w:t>opera</w:t>
      </w:r>
      <w:r w:rsidR="00875692">
        <w:rPr>
          <w:rFonts w:ascii="Times New Roman" w:hAnsi="Times New Roman" w:cs="Times New Roman"/>
          <w:sz w:val="24"/>
          <w:szCs w:val="24"/>
        </w:rPr>
        <w:t xml:space="preserve"> </w:t>
      </w:r>
      <w:r w:rsidR="00875692" w:rsidRPr="00875692">
        <w:rPr>
          <w:rFonts w:ascii="Times New Roman" w:hAnsi="Times New Roman" w:cs="Times New Roman"/>
          <w:i/>
          <w:sz w:val="24"/>
          <w:szCs w:val="24"/>
        </w:rPr>
        <w:t>Storia della religione e della filosofia in Germania</w:t>
      </w:r>
      <w:r w:rsidR="009D33B4">
        <w:rPr>
          <w:rFonts w:ascii="Times New Roman" w:hAnsi="Times New Roman" w:cs="Times New Roman"/>
          <w:i/>
          <w:sz w:val="24"/>
          <w:szCs w:val="24"/>
        </w:rPr>
        <w:t xml:space="preserve"> </w:t>
      </w:r>
      <w:r w:rsidR="002D5107">
        <w:rPr>
          <w:rFonts w:ascii="Times New Roman" w:hAnsi="Times New Roman" w:cs="Times New Roman"/>
          <w:sz w:val="24"/>
          <w:szCs w:val="24"/>
        </w:rPr>
        <w:t>descrive come ci sia una linea di congiunzione tra alcuni tragua</w:t>
      </w:r>
      <w:r w:rsidR="00E134F1">
        <w:rPr>
          <w:rFonts w:ascii="Times New Roman" w:hAnsi="Times New Roman" w:cs="Times New Roman"/>
          <w:sz w:val="24"/>
          <w:szCs w:val="24"/>
        </w:rPr>
        <w:t>rdi della cultura tedesca</w:t>
      </w:r>
      <w:r w:rsidR="002D5107">
        <w:rPr>
          <w:rFonts w:ascii="Times New Roman" w:hAnsi="Times New Roman" w:cs="Times New Roman"/>
          <w:sz w:val="24"/>
          <w:szCs w:val="24"/>
        </w:rPr>
        <w:t xml:space="preserve"> come la riforma e i grandi </w:t>
      </w:r>
      <w:r w:rsidR="00E134F1">
        <w:rPr>
          <w:rFonts w:ascii="Times New Roman" w:hAnsi="Times New Roman" w:cs="Times New Roman"/>
          <w:sz w:val="24"/>
          <w:szCs w:val="24"/>
        </w:rPr>
        <w:t>sistemi filosofici (</w:t>
      </w:r>
      <w:r w:rsidR="002D5107">
        <w:rPr>
          <w:rFonts w:ascii="Times New Roman" w:hAnsi="Times New Roman" w:cs="Times New Roman"/>
          <w:sz w:val="24"/>
          <w:szCs w:val="24"/>
        </w:rPr>
        <w:t>Kant o Hegel</w:t>
      </w:r>
      <w:r w:rsidR="00E134F1">
        <w:rPr>
          <w:rFonts w:ascii="Times New Roman" w:hAnsi="Times New Roman" w:cs="Times New Roman"/>
          <w:sz w:val="24"/>
          <w:szCs w:val="24"/>
        </w:rPr>
        <w:t xml:space="preserve">), </w:t>
      </w:r>
      <w:r w:rsidR="002D5107">
        <w:rPr>
          <w:rFonts w:ascii="Times New Roman" w:hAnsi="Times New Roman" w:cs="Times New Roman"/>
          <w:sz w:val="24"/>
          <w:szCs w:val="24"/>
        </w:rPr>
        <w:t>e un profondo mutarsi dello spirito tedesco che ha poi subito conseguenze politiche importanti</w:t>
      </w:r>
      <w:r w:rsidR="00CE630C">
        <w:rPr>
          <w:rFonts w:ascii="Times New Roman" w:hAnsi="Times New Roman" w:cs="Times New Roman"/>
          <w:sz w:val="24"/>
          <w:szCs w:val="24"/>
        </w:rPr>
        <w:t xml:space="preserve">. </w:t>
      </w:r>
      <w:r w:rsidR="00341610">
        <w:rPr>
          <w:rFonts w:ascii="Times New Roman" w:hAnsi="Times New Roman" w:cs="Times New Roman"/>
          <w:sz w:val="24"/>
          <w:szCs w:val="24"/>
        </w:rPr>
        <w:t>Questa evoluzione dello spirito tedesco viene ribadita specialmente nei confronti dell’eterno rivale francese che aveva già subito le conseguenze d</w:t>
      </w:r>
      <w:r w:rsidR="00FD72FA">
        <w:rPr>
          <w:rFonts w:ascii="Times New Roman" w:hAnsi="Times New Roman" w:cs="Times New Roman"/>
          <w:sz w:val="24"/>
          <w:szCs w:val="24"/>
        </w:rPr>
        <w:t>ella rivoluzione del 1789</w:t>
      </w:r>
      <w:r w:rsidR="00341610">
        <w:rPr>
          <w:rFonts w:ascii="Times New Roman" w:hAnsi="Times New Roman" w:cs="Times New Roman"/>
          <w:sz w:val="24"/>
          <w:szCs w:val="24"/>
        </w:rPr>
        <w:t xml:space="preserve">. Si nota bene dallo scritto di Heine come i tedeschi credevano nell’arrivo quasi messiniaco di una svolta politica (stavolta anche maggiore di quella data dalla rivoluzione francese) in virtù del fatto che dopo eventi come la riforma e le grandi filosofie questa sembrava prospettarsi l’unica conclusione possibile. Heine </w:t>
      </w:r>
      <w:r w:rsidR="00FD72FA">
        <w:rPr>
          <w:rFonts w:ascii="Times New Roman" w:hAnsi="Times New Roman" w:cs="Times New Roman"/>
          <w:sz w:val="24"/>
          <w:szCs w:val="24"/>
        </w:rPr>
        <w:t xml:space="preserve">difatti, </w:t>
      </w:r>
      <w:r w:rsidR="00341610">
        <w:rPr>
          <w:rFonts w:ascii="Times New Roman" w:hAnsi="Times New Roman" w:cs="Times New Roman"/>
          <w:sz w:val="24"/>
          <w:szCs w:val="24"/>
        </w:rPr>
        <w:t>mette in guardia i francesi dallo spirito tedesco</w:t>
      </w:r>
      <w:r w:rsidR="006947A2">
        <w:rPr>
          <w:rFonts w:ascii="Times New Roman" w:hAnsi="Times New Roman" w:cs="Times New Roman"/>
          <w:sz w:val="24"/>
          <w:szCs w:val="24"/>
        </w:rPr>
        <w:t xml:space="preserve"> proprio di un popolo razionale e metodico</w:t>
      </w:r>
      <w:r w:rsidR="00FD72FA">
        <w:rPr>
          <w:rFonts w:ascii="Times New Roman" w:hAnsi="Times New Roman" w:cs="Times New Roman"/>
          <w:sz w:val="24"/>
          <w:szCs w:val="24"/>
        </w:rPr>
        <w:t>, già straripante</w:t>
      </w:r>
      <w:r w:rsidR="00341610">
        <w:rPr>
          <w:rFonts w:ascii="Times New Roman" w:hAnsi="Times New Roman" w:cs="Times New Roman"/>
          <w:sz w:val="24"/>
          <w:szCs w:val="24"/>
        </w:rPr>
        <w:t xml:space="preserve"> di teorie che non aspettano altro che culminare in una grande forza rivoluzionaria</w:t>
      </w:r>
      <w:r w:rsidR="00445F71">
        <w:rPr>
          <w:rFonts w:ascii="Times New Roman" w:hAnsi="Times New Roman" w:cs="Times New Roman"/>
          <w:sz w:val="24"/>
          <w:szCs w:val="24"/>
        </w:rPr>
        <w:t>:</w:t>
      </w:r>
      <w:r w:rsidR="00C44B5B">
        <w:rPr>
          <w:rFonts w:ascii="Times New Roman" w:hAnsi="Times New Roman" w:cs="Times New Roman"/>
          <w:sz w:val="24"/>
          <w:szCs w:val="24"/>
        </w:rPr>
        <w:t xml:space="preserve"> «</w:t>
      </w:r>
      <w:r w:rsidR="00E34C63">
        <w:rPr>
          <w:rFonts w:ascii="Times New Roman" w:hAnsi="Times New Roman" w:cs="Times New Roman"/>
          <w:sz w:val="24"/>
          <w:szCs w:val="24"/>
        </w:rPr>
        <w:t xml:space="preserve">In grazia di queste dottrine si sono venute formando </w:t>
      </w:r>
      <w:r w:rsidR="00775B3D">
        <w:rPr>
          <w:rFonts w:ascii="Times New Roman" w:hAnsi="Times New Roman" w:cs="Times New Roman"/>
          <w:sz w:val="24"/>
          <w:szCs w:val="24"/>
        </w:rPr>
        <w:t>forze rivoluzionarie che aspettano soltanto il giorno in cui potranno scat</w:t>
      </w:r>
      <w:r w:rsidR="00646E71">
        <w:rPr>
          <w:rFonts w:ascii="Times New Roman" w:hAnsi="Times New Roman" w:cs="Times New Roman"/>
          <w:sz w:val="24"/>
          <w:szCs w:val="24"/>
        </w:rPr>
        <w:t>e</w:t>
      </w:r>
      <w:r w:rsidR="00775B3D">
        <w:rPr>
          <w:rFonts w:ascii="Times New Roman" w:hAnsi="Times New Roman" w:cs="Times New Roman"/>
          <w:sz w:val="24"/>
          <w:szCs w:val="24"/>
        </w:rPr>
        <w:t xml:space="preserve">narsi e riempire il </w:t>
      </w:r>
      <w:r w:rsidR="00C44B5B">
        <w:rPr>
          <w:rFonts w:ascii="Times New Roman" w:hAnsi="Times New Roman" w:cs="Times New Roman"/>
          <w:sz w:val="24"/>
          <w:szCs w:val="24"/>
        </w:rPr>
        <w:t>mondo di orrore e di meraviglia</w:t>
      </w:r>
      <w:r w:rsidR="00775B3D">
        <w:rPr>
          <w:rFonts w:ascii="Times New Roman" w:hAnsi="Times New Roman" w:cs="Times New Roman"/>
          <w:sz w:val="24"/>
          <w:szCs w:val="24"/>
        </w:rPr>
        <w:t>»</w:t>
      </w:r>
      <w:r w:rsidR="006947A2">
        <w:rPr>
          <w:rStyle w:val="Rimandonotaapidipagina"/>
          <w:rFonts w:ascii="Times New Roman" w:hAnsi="Times New Roman" w:cs="Times New Roman"/>
          <w:sz w:val="24"/>
          <w:szCs w:val="24"/>
        </w:rPr>
        <w:footnoteReference w:id="9"/>
      </w:r>
      <w:r w:rsidR="00B45863">
        <w:rPr>
          <w:rFonts w:ascii="Times New Roman" w:hAnsi="Times New Roman" w:cs="Times New Roman"/>
          <w:sz w:val="24"/>
          <w:szCs w:val="24"/>
        </w:rPr>
        <w:t>.</w:t>
      </w:r>
      <w:r w:rsidR="00E94B2D">
        <w:rPr>
          <w:rFonts w:ascii="Times New Roman" w:hAnsi="Times New Roman" w:cs="Times New Roman"/>
          <w:sz w:val="24"/>
          <w:szCs w:val="24"/>
        </w:rPr>
        <w:t xml:space="preserve"> </w:t>
      </w:r>
      <w:r w:rsidR="00646E71">
        <w:rPr>
          <w:rFonts w:ascii="Times New Roman" w:hAnsi="Times New Roman" w:cs="Times New Roman"/>
          <w:sz w:val="24"/>
          <w:szCs w:val="24"/>
        </w:rPr>
        <w:t xml:space="preserve">Heine </w:t>
      </w:r>
      <w:r w:rsidR="006947A2">
        <w:rPr>
          <w:rFonts w:ascii="Times New Roman" w:hAnsi="Times New Roman" w:cs="Times New Roman"/>
          <w:sz w:val="24"/>
          <w:szCs w:val="24"/>
        </w:rPr>
        <w:t xml:space="preserve">qui </w:t>
      </w:r>
      <w:r w:rsidR="00646E71">
        <w:rPr>
          <w:rFonts w:ascii="Times New Roman" w:hAnsi="Times New Roman" w:cs="Times New Roman"/>
          <w:sz w:val="24"/>
          <w:szCs w:val="24"/>
        </w:rPr>
        <w:t>si rife</w:t>
      </w:r>
      <w:r w:rsidR="004F0D42">
        <w:rPr>
          <w:rFonts w:ascii="Times New Roman" w:hAnsi="Times New Roman" w:cs="Times New Roman"/>
          <w:sz w:val="24"/>
          <w:szCs w:val="24"/>
        </w:rPr>
        <w:t>ri</w:t>
      </w:r>
      <w:r w:rsidR="00646E71">
        <w:rPr>
          <w:rFonts w:ascii="Times New Roman" w:hAnsi="Times New Roman" w:cs="Times New Roman"/>
          <w:sz w:val="24"/>
          <w:szCs w:val="24"/>
        </w:rPr>
        <w:t xml:space="preserve">sce proprio a quelle dottrine classiche quali la Kantiana o la Hegeliana che a differenza di quella Nietzschiana hanno contribuito alla rivoluzione spirituale e politica tedesca in maniera implicita, un contributo questo che </w:t>
      </w:r>
      <w:r w:rsidR="00A45B9A">
        <w:rPr>
          <w:rFonts w:ascii="Times New Roman" w:hAnsi="Times New Roman" w:cs="Times New Roman"/>
          <w:sz w:val="24"/>
          <w:szCs w:val="24"/>
        </w:rPr>
        <w:t>a Löwith preme quindi di sottol</w:t>
      </w:r>
      <w:r w:rsidR="00FD72FA">
        <w:rPr>
          <w:rFonts w:ascii="Times New Roman" w:hAnsi="Times New Roman" w:cs="Times New Roman"/>
          <w:sz w:val="24"/>
          <w:szCs w:val="24"/>
        </w:rPr>
        <w:t>ineare per ribadire la sua constatazione</w:t>
      </w:r>
      <w:r w:rsidR="00A45B9A">
        <w:rPr>
          <w:rFonts w:ascii="Times New Roman" w:hAnsi="Times New Roman" w:cs="Times New Roman"/>
          <w:sz w:val="24"/>
          <w:szCs w:val="24"/>
        </w:rPr>
        <w:t xml:space="preserve"> di come in realtà una forza rivoluzionaria e distruttiva non sia stata il frutto unicamente d</w:t>
      </w:r>
      <w:r w:rsidR="00E134F1">
        <w:rPr>
          <w:rFonts w:ascii="Times New Roman" w:hAnsi="Times New Roman" w:cs="Times New Roman"/>
          <w:sz w:val="24"/>
          <w:szCs w:val="24"/>
        </w:rPr>
        <w:t xml:space="preserve">i una filosofia emblema del </w:t>
      </w:r>
      <w:r w:rsidR="00FD72FA">
        <w:rPr>
          <w:rFonts w:ascii="Times New Roman" w:hAnsi="Times New Roman" w:cs="Times New Roman"/>
          <w:sz w:val="24"/>
          <w:szCs w:val="24"/>
        </w:rPr>
        <w:t>nichilismo (come lo poteva essere quella Nietzschiana)</w:t>
      </w:r>
      <w:r w:rsidR="00A45B9A">
        <w:rPr>
          <w:rFonts w:ascii="Times New Roman" w:hAnsi="Times New Roman" w:cs="Times New Roman"/>
          <w:sz w:val="24"/>
          <w:szCs w:val="24"/>
        </w:rPr>
        <w:t>, ma anche di quelle filosofie che sono state sempre considerate come costruttrici</w:t>
      </w:r>
      <w:r w:rsidR="00AF4B38">
        <w:rPr>
          <w:rFonts w:ascii="Times New Roman" w:hAnsi="Times New Roman" w:cs="Times New Roman"/>
          <w:sz w:val="24"/>
          <w:szCs w:val="24"/>
        </w:rPr>
        <w:t xml:space="preserve"> e fondanti della </w:t>
      </w:r>
      <w:r w:rsidR="00A45B9A">
        <w:rPr>
          <w:rFonts w:ascii="Times New Roman" w:hAnsi="Times New Roman" w:cs="Times New Roman"/>
          <w:sz w:val="24"/>
          <w:szCs w:val="24"/>
        </w:rPr>
        <w:t>re</w:t>
      </w:r>
      <w:r w:rsidR="00FD72FA">
        <w:rPr>
          <w:rFonts w:ascii="Times New Roman" w:hAnsi="Times New Roman" w:cs="Times New Roman"/>
          <w:sz w:val="24"/>
          <w:szCs w:val="24"/>
        </w:rPr>
        <w:t>altà (Kantismo, Idealismo).</w:t>
      </w:r>
    </w:p>
    <w:p w:rsidR="00A45B9A" w:rsidRDefault="00A45B9A"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Tutto questo perché il nichilismo era già insito all’interno dello spirito europeo, all’interno dello spirito tedesco.</w:t>
      </w:r>
    </w:p>
    <w:p w:rsidR="0019122C" w:rsidRDefault="0019122C" w:rsidP="00322D69">
      <w:pPr>
        <w:spacing w:after="0" w:line="360" w:lineRule="auto"/>
        <w:mirrorIndents/>
        <w:jc w:val="both"/>
        <w:rPr>
          <w:rFonts w:ascii="Times New Roman" w:hAnsi="Times New Roman" w:cs="Times New Roman"/>
          <w:sz w:val="24"/>
          <w:szCs w:val="24"/>
        </w:rPr>
      </w:pPr>
    </w:p>
    <w:p w:rsidR="0019122C" w:rsidRDefault="0019122C" w:rsidP="00322D69">
      <w:pPr>
        <w:spacing w:after="0" w:line="360" w:lineRule="auto"/>
        <w:mirrorIndents/>
        <w:jc w:val="both"/>
        <w:rPr>
          <w:rFonts w:ascii="Times New Roman" w:hAnsi="Times New Roman" w:cs="Times New Roman"/>
          <w:sz w:val="24"/>
          <w:szCs w:val="24"/>
        </w:rPr>
      </w:pPr>
    </w:p>
    <w:p w:rsidR="0019122C" w:rsidRDefault="0019122C" w:rsidP="00322D69">
      <w:pPr>
        <w:spacing w:after="0" w:line="360" w:lineRule="auto"/>
        <w:mirrorIndents/>
        <w:jc w:val="both"/>
        <w:rPr>
          <w:rFonts w:ascii="Times New Roman" w:hAnsi="Times New Roman" w:cs="Times New Roman"/>
          <w:sz w:val="24"/>
          <w:szCs w:val="24"/>
        </w:rPr>
      </w:pPr>
    </w:p>
    <w:p w:rsidR="0019122C" w:rsidRDefault="0019122C" w:rsidP="00322D69">
      <w:pPr>
        <w:spacing w:after="0" w:line="360" w:lineRule="auto"/>
        <w:mirrorIndents/>
        <w:jc w:val="both"/>
        <w:rPr>
          <w:rFonts w:ascii="Times New Roman" w:hAnsi="Times New Roman" w:cs="Times New Roman"/>
          <w:sz w:val="24"/>
          <w:szCs w:val="24"/>
        </w:rPr>
      </w:pPr>
    </w:p>
    <w:p w:rsidR="0019122C" w:rsidRDefault="0019122C" w:rsidP="00322D69">
      <w:pPr>
        <w:spacing w:after="0" w:line="360" w:lineRule="auto"/>
        <w:mirrorIndents/>
        <w:jc w:val="both"/>
        <w:rPr>
          <w:rFonts w:ascii="Times New Roman" w:hAnsi="Times New Roman" w:cs="Times New Roman"/>
          <w:sz w:val="24"/>
          <w:szCs w:val="24"/>
        </w:rPr>
      </w:pPr>
    </w:p>
    <w:p w:rsidR="0019122C" w:rsidRDefault="0019122C" w:rsidP="00322D69">
      <w:pPr>
        <w:spacing w:after="0" w:line="360" w:lineRule="auto"/>
        <w:mirrorIndents/>
        <w:jc w:val="both"/>
        <w:rPr>
          <w:rFonts w:ascii="Times New Roman" w:hAnsi="Times New Roman" w:cs="Times New Roman"/>
          <w:sz w:val="24"/>
          <w:szCs w:val="24"/>
        </w:rPr>
      </w:pPr>
    </w:p>
    <w:p w:rsidR="0019122C" w:rsidRPr="002D5107" w:rsidRDefault="0019122C" w:rsidP="00322D69">
      <w:pPr>
        <w:spacing w:after="0" w:line="360" w:lineRule="auto"/>
        <w:mirrorIndents/>
        <w:jc w:val="both"/>
        <w:rPr>
          <w:rFonts w:ascii="Times New Roman" w:hAnsi="Times New Roman" w:cs="Times New Roman"/>
          <w:sz w:val="24"/>
          <w:szCs w:val="24"/>
        </w:rPr>
      </w:pPr>
      <w:r>
        <w:rPr>
          <w:rFonts w:ascii="Times New Roman" w:hAnsi="Times New Roman" w:cs="Times New Roman"/>
          <w:sz w:val="24"/>
          <w:szCs w:val="24"/>
        </w:rPr>
        <w:t>Teresa Pompili</w:t>
      </w:r>
    </w:p>
    <w:sectPr w:rsidR="0019122C" w:rsidRPr="002D5107" w:rsidSect="007A385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24F" w:rsidRDefault="00A4624F" w:rsidP="0039014E">
      <w:pPr>
        <w:spacing w:after="0" w:line="240" w:lineRule="auto"/>
      </w:pPr>
      <w:r>
        <w:separator/>
      </w:r>
    </w:p>
  </w:endnote>
  <w:endnote w:type="continuationSeparator" w:id="0">
    <w:p w:rsidR="00A4624F" w:rsidRDefault="00A4624F" w:rsidP="00390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86"/>
      <w:gridCol w:w="1082"/>
      <w:gridCol w:w="4386"/>
    </w:tblGrid>
    <w:tr w:rsidR="003D0F49">
      <w:trPr>
        <w:trHeight w:val="151"/>
      </w:trPr>
      <w:tc>
        <w:tcPr>
          <w:tcW w:w="2250" w:type="pct"/>
          <w:tcBorders>
            <w:bottom w:val="single" w:sz="4" w:space="0" w:color="4F81BD" w:themeColor="accent1"/>
          </w:tcBorders>
        </w:tcPr>
        <w:p w:rsidR="003D0F49" w:rsidRDefault="003D0F49">
          <w:pPr>
            <w:pStyle w:val="Intestazione"/>
            <w:rPr>
              <w:rFonts w:asciiTheme="majorHAnsi" w:eastAsiaTheme="majorEastAsia" w:hAnsiTheme="majorHAnsi" w:cstheme="majorBidi"/>
              <w:b/>
              <w:bCs/>
            </w:rPr>
          </w:pPr>
        </w:p>
      </w:tc>
      <w:tc>
        <w:tcPr>
          <w:tcW w:w="500" w:type="pct"/>
          <w:vMerge w:val="restart"/>
          <w:noWrap/>
          <w:vAlign w:val="center"/>
        </w:tcPr>
        <w:p w:rsidR="003D0F49" w:rsidRDefault="003D0F49">
          <w:pPr>
            <w:pStyle w:val="Nessunaspaziatura"/>
            <w:rPr>
              <w:rFonts w:asciiTheme="majorHAnsi" w:hAnsiTheme="majorHAnsi"/>
            </w:rPr>
          </w:pPr>
          <w:r>
            <w:rPr>
              <w:rFonts w:asciiTheme="majorHAnsi" w:hAnsiTheme="majorHAnsi"/>
              <w:b/>
            </w:rPr>
            <w:t xml:space="preserve">Pagina </w:t>
          </w:r>
          <w:r w:rsidR="00A4624F">
            <w:fldChar w:fldCharType="begin"/>
          </w:r>
          <w:r w:rsidR="00A4624F">
            <w:instrText xml:space="preserve"> PAGE  \* MERGEFORMAT </w:instrText>
          </w:r>
          <w:r w:rsidR="00A4624F">
            <w:fldChar w:fldCharType="separate"/>
          </w:r>
          <w:r w:rsidR="00A608C6" w:rsidRPr="00A608C6">
            <w:rPr>
              <w:rFonts w:asciiTheme="majorHAnsi" w:hAnsiTheme="majorHAnsi"/>
              <w:b/>
              <w:noProof/>
            </w:rPr>
            <w:t>1</w:t>
          </w:r>
          <w:r w:rsidR="00A4624F">
            <w:rPr>
              <w:rFonts w:asciiTheme="majorHAnsi" w:hAnsiTheme="majorHAnsi"/>
              <w:b/>
              <w:noProof/>
            </w:rPr>
            <w:fldChar w:fldCharType="end"/>
          </w:r>
        </w:p>
      </w:tc>
      <w:tc>
        <w:tcPr>
          <w:tcW w:w="2250" w:type="pct"/>
          <w:tcBorders>
            <w:bottom w:val="single" w:sz="4" w:space="0" w:color="4F81BD" w:themeColor="accent1"/>
          </w:tcBorders>
        </w:tcPr>
        <w:p w:rsidR="003D0F49" w:rsidRDefault="003D0F49">
          <w:pPr>
            <w:pStyle w:val="Intestazione"/>
            <w:rPr>
              <w:rFonts w:asciiTheme="majorHAnsi" w:eastAsiaTheme="majorEastAsia" w:hAnsiTheme="majorHAnsi" w:cstheme="majorBidi"/>
              <w:b/>
              <w:bCs/>
            </w:rPr>
          </w:pPr>
        </w:p>
      </w:tc>
    </w:tr>
    <w:tr w:rsidR="003D0F49">
      <w:trPr>
        <w:trHeight w:val="150"/>
      </w:trPr>
      <w:tc>
        <w:tcPr>
          <w:tcW w:w="2250" w:type="pct"/>
          <w:tcBorders>
            <w:top w:val="single" w:sz="4" w:space="0" w:color="4F81BD" w:themeColor="accent1"/>
          </w:tcBorders>
        </w:tcPr>
        <w:p w:rsidR="003D0F49" w:rsidRDefault="003D0F49">
          <w:pPr>
            <w:pStyle w:val="Intestazione"/>
            <w:rPr>
              <w:rFonts w:asciiTheme="majorHAnsi" w:eastAsiaTheme="majorEastAsia" w:hAnsiTheme="majorHAnsi" w:cstheme="majorBidi"/>
              <w:b/>
              <w:bCs/>
            </w:rPr>
          </w:pPr>
        </w:p>
      </w:tc>
      <w:tc>
        <w:tcPr>
          <w:tcW w:w="500" w:type="pct"/>
          <w:vMerge/>
        </w:tcPr>
        <w:p w:rsidR="003D0F49" w:rsidRDefault="003D0F49">
          <w:pPr>
            <w:pStyle w:val="Intestazione"/>
            <w:jc w:val="center"/>
            <w:rPr>
              <w:rFonts w:asciiTheme="majorHAnsi" w:eastAsiaTheme="majorEastAsia" w:hAnsiTheme="majorHAnsi" w:cstheme="majorBidi"/>
              <w:b/>
              <w:bCs/>
            </w:rPr>
          </w:pPr>
        </w:p>
      </w:tc>
      <w:tc>
        <w:tcPr>
          <w:tcW w:w="2250" w:type="pct"/>
          <w:tcBorders>
            <w:top w:val="single" w:sz="4" w:space="0" w:color="4F81BD" w:themeColor="accent1"/>
          </w:tcBorders>
        </w:tcPr>
        <w:p w:rsidR="003D0F49" w:rsidRDefault="003D0F49">
          <w:pPr>
            <w:pStyle w:val="Intestazione"/>
            <w:rPr>
              <w:rFonts w:asciiTheme="majorHAnsi" w:eastAsiaTheme="majorEastAsia" w:hAnsiTheme="majorHAnsi" w:cstheme="majorBidi"/>
              <w:b/>
              <w:bCs/>
            </w:rPr>
          </w:pPr>
        </w:p>
      </w:tc>
    </w:tr>
  </w:tbl>
  <w:p w:rsidR="003D0F49" w:rsidRDefault="003D0F4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24F" w:rsidRDefault="00A4624F" w:rsidP="0039014E">
      <w:pPr>
        <w:spacing w:after="0" w:line="240" w:lineRule="auto"/>
      </w:pPr>
      <w:r>
        <w:separator/>
      </w:r>
    </w:p>
  </w:footnote>
  <w:footnote w:type="continuationSeparator" w:id="0">
    <w:p w:rsidR="00A4624F" w:rsidRDefault="00A4624F" w:rsidP="0039014E">
      <w:pPr>
        <w:spacing w:after="0" w:line="240" w:lineRule="auto"/>
      </w:pPr>
      <w:r>
        <w:continuationSeparator/>
      </w:r>
    </w:p>
  </w:footnote>
  <w:footnote w:id="1">
    <w:p w:rsidR="0039014E" w:rsidRDefault="0039014E">
      <w:pPr>
        <w:pStyle w:val="Testonotaapidipagina"/>
      </w:pPr>
      <w:r>
        <w:rPr>
          <w:rStyle w:val="Rimandonotaapidipagina"/>
        </w:rPr>
        <w:footnoteRef/>
      </w:r>
      <w:r w:rsidR="0051575F">
        <w:t xml:space="preserve"> K. L</w:t>
      </w:r>
      <w:r w:rsidR="0051575F">
        <w:rPr>
          <w:rFonts w:cstheme="minorHAnsi"/>
        </w:rPr>
        <w:t>ö</w:t>
      </w:r>
      <w:r w:rsidR="0051575F">
        <w:t>with,</w:t>
      </w:r>
      <w:r w:rsidR="0051575F">
        <w:rPr>
          <w:rFonts w:cstheme="minorHAnsi"/>
        </w:rPr>
        <w:t xml:space="preserve"> </w:t>
      </w:r>
      <w:r w:rsidRPr="0039014E">
        <w:rPr>
          <w:i/>
        </w:rPr>
        <w:t>Il nichilismo europeo</w:t>
      </w:r>
      <w:r>
        <w:t xml:space="preserve">. </w:t>
      </w:r>
      <w:r w:rsidRPr="0039014E">
        <w:rPr>
          <w:i/>
        </w:rPr>
        <w:t>Considerazioni sugli antefatti spirituali della guerra europea</w:t>
      </w:r>
      <w:r w:rsidR="0051575F">
        <w:t>, a cura di C. Galli, Laterza (Roma-Bari, 1999), p. 33.</w:t>
      </w:r>
    </w:p>
  </w:footnote>
  <w:footnote w:id="2">
    <w:p w:rsidR="0051575F" w:rsidRDefault="0051575F">
      <w:pPr>
        <w:pStyle w:val="Testonotaapidipagina"/>
      </w:pPr>
      <w:r>
        <w:rPr>
          <w:rStyle w:val="Rimandonotaapidipagina"/>
        </w:rPr>
        <w:footnoteRef/>
      </w:r>
      <w:r>
        <w:t xml:space="preserve"> C.Baudelaire, </w:t>
      </w:r>
      <w:r w:rsidRPr="0051575F">
        <w:rPr>
          <w:i/>
        </w:rPr>
        <w:t>Razzi</w:t>
      </w:r>
      <w:r>
        <w:t xml:space="preserve">, in Id., </w:t>
      </w:r>
      <w:r w:rsidRPr="0051575F">
        <w:rPr>
          <w:i/>
        </w:rPr>
        <w:t>Ultimi scritti</w:t>
      </w:r>
      <w:r>
        <w:t>, a cura di F. Rella, Feltrinelli (Milano 1995), p. 54; K. L</w:t>
      </w:r>
      <w:r>
        <w:rPr>
          <w:rFonts w:cstheme="minorHAnsi"/>
        </w:rPr>
        <w:t>ö</w:t>
      </w:r>
      <w:r>
        <w:t>with,</w:t>
      </w:r>
      <w:r>
        <w:rPr>
          <w:rFonts w:cstheme="minorHAnsi"/>
        </w:rPr>
        <w:t xml:space="preserve"> </w:t>
      </w:r>
      <w:r w:rsidRPr="0039014E">
        <w:rPr>
          <w:i/>
        </w:rPr>
        <w:t>Il nichilismo europeo</w:t>
      </w:r>
      <w:r>
        <w:t xml:space="preserve">. </w:t>
      </w:r>
      <w:r w:rsidRPr="0039014E">
        <w:rPr>
          <w:i/>
        </w:rPr>
        <w:t>Considerazioni sugli antefatti spirituali della guerra europea</w:t>
      </w:r>
      <w:r w:rsidR="006B5605">
        <w:t xml:space="preserve"> cit. p. 33.</w:t>
      </w:r>
    </w:p>
  </w:footnote>
  <w:footnote w:id="3">
    <w:p w:rsidR="006B5605" w:rsidRDefault="006B5605">
      <w:pPr>
        <w:pStyle w:val="Testonotaapidipagina"/>
      </w:pPr>
      <w:r>
        <w:rPr>
          <w:rStyle w:val="Rimandonotaapidipagina"/>
        </w:rPr>
        <w:footnoteRef/>
      </w:r>
      <w:r>
        <w:t xml:space="preserve"> </w:t>
      </w:r>
      <w:r w:rsidRPr="006B5605">
        <w:rPr>
          <w:i/>
        </w:rPr>
        <w:t>Ibidem</w:t>
      </w:r>
      <w:r>
        <w:t>, cit. p. 35.</w:t>
      </w:r>
    </w:p>
  </w:footnote>
  <w:footnote w:id="4">
    <w:p w:rsidR="003D0F49" w:rsidRDefault="003D0F49">
      <w:pPr>
        <w:pStyle w:val="Testonotaapidipagina"/>
      </w:pPr>
      <w:r>
        <w:rPr>
          <w:rStyle w:val="Rimandonotaapidipagina"/>
        </w:rPr>
        <w:footnoteRef/>
      </w:r>
      <w:r>
        <w:t xml:space="preserve"> </w:t>
      </w:r>
      <w:r w:rsidR="00DC7D70">
        <w:t>K. L</w:t>
      </w:r>
      <w:r w:rsidR="00DC7D70">
        <w:rPr>
          <w:rFonts w:cstheme="minorHAnsi"/>
        </w:rPr>
        <w:t>ö</w:t>
      </w:r>
      <w:r w:rsidR="00DC7D70">
        <w:t>with,</w:t>
      </w:r>
      <w:r w:rsidR="00DC7D70">
        <w:rPr>
          <w:rFonts w:cstheme="minorHAnsi"/>
        </w:rPr>
        <w:t xml:space="preserve"> </w:t>
      </w:r>
      <w:r w:rsidR="00DC7D70" w:rsidRPr="0039014E">
        <w:rPr>
          <w:i/>
        </w:rPr>
        <w:t>Il nichilismo europeo</w:t>
      </w:r>
      <w:r w:rsidR="00DC7D70">
        <w:t xml:space="preserve">. </w:t>
      </w:r>
      <w:r w:rsidR="00DC7D70" w:rsidRPr="0039014E">
        <w:rPr>
          <w:i/>
        </w:rPr>
        <w:t>Considerazioni sugli antefatti spirituali della guerra europea</w:t>
      </w:r>
      <w:r w:rsidR="00DC7D70">
        <w:t>, a cura di C. Galli, Laterza (Roma-Bari, 1999), p. 35, cit. Dostoevskij (</w:t>
      </w:r>
      <w:r w:rsidR="00DC7D70" w:rsidRPr="00DC7D70">
        <w:rPr>
          <w:i/>
        </w:rPr>
        <w:t>Diario di uno scrittore</w:t>
      </w:r>
      <w:r w:rsidR="00DC7D70">
        <w:t>, 1880)</w:t>
      </w:r>
    </w:p>
  </w:footnote>
  <w:footnote w:id="5">
    <w:p w:rsidR="00002FB8" w:rsidRDefault="00002FB8">
      <w:pPr>
        <w:pStyle w:val="Testonotaapidipagina"/>
      </w:pPr>
      <w:r>
        <w:rPr>
          <w:rStyle w:val="Rimandonotaapidipagina"/>
        </w:rPr>
        <w:footnoteRef/>
      </w:r>
      <w:r>
        <w:t xml:space="preserve"> </w:t>
      </w:r>
      <w:r w:rsidR="0095249F">
        <w:t>K. L</w:t>
      </w:r>
      <w:r w:rsidR="0095249F">
        <w:rPr>
          <w:rFonts w:cstheme="minorHAnsi"/>
        </w:rPr>
        <w:t>ö</w:t>
      </w:r>
      <w:r w:rsidR="0095249F">
        <w:t>with,</w:t>
      </w:r>
      <w:r w:rsidR="0095249F">
        <w:rPr>
          <w:rFonts w:cstheme="minorHAnsi"/>
        </w:rPr>
        <w:t xml:space="preserve"> </w:t>
      </w:r>
      <w:r w:rsidR="0095249F" w:rsidRPr="0039014E">
        <w:rPr>
          <w:i/>
        </w:rPr>
        <w:t>Il nichilismo europeo</w:t>
      </w:r>
      <w:r w:rsidR="0095249F">
        <w:t xml:space="preserve">. </w:t>
      </w:r>
      <w:r w:rsidR="0095249F" w:rsidRPr="0039014E">
        <w:rPr>
          <w:i/>
        </w:rPr>
        <w:t>Considerazioni sugli antefatti spirituali della guerra europea</w:t>
      </w:r>
      <w:r w:rsidR="0095249F">
        <w:t>, a cura di C. Galli, Laterza (Roma-Bari, 1999), p.</w:t>
      </w:r>
      <w:r w:rsidR="009A3D13">
        <w:t>40.</w:t>
      </w:r>
    </w:p>
  </w:footnote>
  <w:footnote w:id="6">
    <w:p w:rsidR="0095249F" w:rsidRDefault="0095249F">
      <w:pPr>
        <w:pStyle w:val="Testonotaapidipagina"/>
      </w:pPr>
      <w:r>
        <w:rPr>
          <w:rStyle w:val="Rimandonotaapidipagina"/>
        </w:rPr>
        <w:footnoteRef/>
      </w:r>
      <w:r>
        <w:t xml:space="preserve"> K. L</w:t>
      </w:r>
      <w:r>
        <w:rPr>
          <w:rFonts w:cstheme="minorHAnsi"/>
        </w:rPr>
        <w:t>ö</w:t>
      </w:r>
      <w:r>
        <w:t>with,</w:t>
      </w:r>
      <w:r>
        <w:rPr>
          <w:rFonts w:cstheme="minorHAnsi"/>
        </w:rPr>
        <w:t xml:space="preserve"> </w:t>
      </w:r>
      <w:r w:rsidRPr="0039014E">
        <w:rPr>
          <w:i/>
        </w:rPr>
        <w:t>Il nichilismo europeo</w:t>
      </w:r>
      <w:r>
        <w:t xml:space="preserve">. </w:t>
      </w:r>
      <w:r w:rsidRPr="0039014E">
        <w:rPr>
          <w:i/>
        </w:rPr>
        <w:t>Considerazioni sugli antefatti spirituali della guerra europea</w:t>
      </w:r>
      <w:r>
        <w:t>, a cura di C. Galli, Laterza (Roma-Bari, 1999), p.46.</w:t>
      </w:r>
    </w:p>
  </w:footnote>
  <w:footnote w:id="7">
    <w:p w:rsidR="0095249F" w:rsidRDefault="0095249F">
      <w:pPr>
        <w:pStyle w:val="Testonotaapidipagina"/>
      </w:pPr>
      <w:r>
        <w:rPr>
          <w:rStyle w:val="Rimandonotaapidipagina"/>
        </w:rPr>
        <w:footnoteRef/>
      </w:r>
      <w:r>
        <w:t xml:space="preserve"> F. Nietzsche, Ecce Homo, Adelphi (Milano 2011), p.17.</w:t>
      </w:r>
    </w:p>
  </w:footnote>
  <w:footnote w:id="8">
    <w:p w:rsidR="00341610" w:rsidRDefault="00341610" w:rsidP="00341610">
      <w:pPr>
        <w:pStyle w:val="Testonotaapidipagina"/>
      </w:pPr>
      <w:r>
        <w:rPr>
          <w:rStyle w:val="Rimandonotaapidipagina"/>
        </w:rPr>
        <w:footnoteRef/>
      </w:r>
      <w:r>
        <w:t xml:space="preserve"> K. L</w:t>
      </w:r>
      <w:r>
        <w:rPr>
          <w:rFonts w:cstheme="minorHAnsi"/>
        </w:rPr>
        <w:t>ö</w:t>
      </w:r>
      <w:r>
        <w:t>with,</w:t>
      </w:r>
      <w:r>
        <w:rPr>
          <w:rFonts w:cstheme="minorHAnsi"/>
        </w:rPr>
        <w:t xml:space="preserve"> </w:t>
      </w:r>
      <w:r w:rsidRPr="0039014E">
        <w:rPr>
          <w:i/>
        </w:rPr>
        <w:t>Il nichilismo europeo</w:t>
      </w:r>
      <w:r>
        <w:t xml:space="preserve">. </w:t>
      </w:r>
      <w:r w:rsidRPr="0039014E">
        <w:rPr>
          <w:i/>
        </w:rPr>
        <w:t>Considerazioni sugli antefatti spirituali della guerra europea</w:t>
      </w:r>
      <w:r>
        <w:t>, a cura di C. Galli, Laterza (Roma-Bari, 1999), p.57, cit. Hegel.</w:t>
      </w:r>
    </w:p>
  </w:footnote>
  <w:footnote w:id="9">
    <w:p w:rsidR="006947A2" w:rsidRDefault="006947A2">
      <w:pPr>
        <w:pStyle w:val="Testonotaapidipagina"/>
      </w:pPr>
      <w:r>
        <w:rPr>
          <w:rStyle w:val="Rimandonotaapidipagina"/>
        </w:rPr>
        <w:footnoteRef/>
      </w:r>
      <w:r>
        <w:t xml:space="preserve"> </w:t>
      </w:r>
      <w:r w:rsidRPr="006947A2">
        <w:rPr>
          <w:i/>
        </w:rPr>
        <w:t>Ibidem</w:t>
      </w:r>
      <w:r>
        <w:t>, p. 58, cit. Heine.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it-IT" w:vendorID="3" w:dllVersion="517" w:checkStyle="1"/>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D69"/>
    <w:rsid w:val="00002FB8"/>
    <w:rsid w:val="00041EE4"/>
    <w:rsid w:val="000920EC"/>
    <w:rsid w:val="00121DA6"/>
    <w:rsid w:val="00140F36"/>
    <w:rsid w:val="001460C4"/>
    <w:rsid w:val="00176279"/>
    <w:rsid w:val="001872DD"/>
    <w:rsid w:val="0019122C"/>
    <w:rsid w:val="001A019A"/>
    <w:rsid w:val="001A1169"/>
    <w:rsid w:val="001D5300"/>
    <w:rsid w:val="002A7268"/>
    <w:rsid w:val="002D5107"/>
    <w:rsid w:val="00322D69"/>
    <w:rsid w:val="00341610"/>
    <w:rsid w:val="00383638"/>
    <w:rsid w:val="0039014E"/>
    <w:rsid w:val="003B141C"/>
    <w:rsid w:val="003D0F49"/>
    <w:rsid w:val="003F39D5"/>
    <w:rsid w:val="004100A3"/>
    <w:rsid w:val="00423596"/>
    <w:rsid w:val="00432A34"/>
    <w:rsid w:val="00445F71"/>
    <w:rsid w:val="004538A8"/>
    <w:rsid w:val="004D561D"/>
    <w:rsid w:val="004F0D42"/>
    <w:rsid w:val="0051575F"/>
    <w:rsid w:val="00533A72"/>
    <w:rsid w:val="00533DCD"/>
    <w:rsid w:val="005A3025"/>
    <w:rsid w:val="006145D1"/>
    <w:rsid w:val="00646E71"/>
    <w:rsid w:val="00647865"/>
    <w:rsid w:val="006947A2"/>
    <w:rsid w:val="006B5605"/>
    <w:rsid w:val="006E6376"/>
    <w:rsid w:val="0072201B"/>
    <w:rsid w:val="00775B3D"/>
    <w:rsid w:val="007A385D"/>
    <w:rsid w:val="00875692"/>
    <w:rsid w:val="008B18AC"/>
    <w:rsid w:val="009338E5"/>
    <w:rsid w:val="0093443E"/>
    <w:rsid w:val="0095249F"/>
    <w:rsid w:val="00966BFA"/>
    <w:rsid w:val="00975619"/>
    <w:rsid w:val="009A3D13"/>
    <w:rsid w:val="009A6FBC"/>
    <w:rsid w:val="009D33B4"/>
    <w:rsid w:val="00A36637"/>
    <w:rsid w:val="00A45B9A"/>
    <w:rsid w:val="00A4624F"/>
    <w:rsid w:val="00A608C6"/>
    <w:rsid w:val="00A615C4"/>
    <w:rsid w:val="00AF4B38"/>
    <w:rsid w:val="00B15C41"/>
    <w:rsid w:val="00B17E59"/>
    <w:rsid w:val="00B337C3"/>
    <w:rsid w:val="00B45863"/>
    <w:rsid w:val="00BF5F93"/>
    <w:rsid w:val="00C31D81"/>
    <w:rsid w:val="00C34F6E"/>
    <w:rsid w:val="00C44B5B"/>
    <w:rsid w:val="00CB2551"/>
    <w:rsid w:val="00CD719E"/>
    <w:rsid w:val="00CE630C"/>
    <w:rsid w:val="00CF613A"/>
    <w:rsid w:val="00D073CB"/>
    <w:rsid w:val="00D45A14"/>
    <w:rsid w:val="00D57615"/>
    <w:rsid w:val="00D616B5"/>
    <w:rsid w:val="00D7674A"/>
    <w:rsid w:val="00D8416A"/>
    <w:rsid w:val="00DB70CE"/>
    <w:rsid w:val="00DC7D70"/>
    <w:rsid w:val="00E134F1"/>
    <w:rsid w:val="00E2557C"/>
    <w:rsid w:val="00E34C63"/>
    <w:rsid w:val="00E94B2D"/>
    <w:rsid w:val="00EB5BA1"/>
    <w:rsid w:val="00F464D5"/>
    <w:rsid w:val="00FD5069"/>
    <w:rsid w:val="00FD7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39014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9014E"/>
    <w:rPr>
      <w:sz w:val="20"/>
      <w:szCs w:val="20"/>
    </w:rPr>
  </w:style>
  <w:style w:type="character" w:styleId="Rimandonotaapidipagina">
    <w:name w:val="footnote reference"/>
    <w:basedOn w:val="Carpredefinitoparagrafo"/>
    <w:uiPriority w:val="99"/>
    <w:semiHidden/>
    <w:unhideWhenUsed/>
    <w:rsid w:val="0039014E"/>
    <w:rPr>
      <w:vertAlign w:val="superscript"/>
    </w:rPr>
  </w:style>
  <w:style w:type="paragraph" w:styleId="Intestazione">
    <w:name w:val="header"/>
    <w:basedOn w:val="Normale"/>
    <w:link w:val="IntestazioneCarattere"/>
    <w:uiPriority w:val="99"/>
    <w:unhideWhenUsed/>
    <w:rsid w:val="003D0F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0F49"/>
  </w:style>
  <w:style w:type="paragraph" w:styleId="Pidipagina">
    <w:name w:val="footer"/>
    <w:basedOn w:val="Normale"/>
    <w:link w:val="PidipaginaCarattere"/>
    <w:uiPriority w:val="99"/>
    <w:semiHidden/>
    <w:unhideWhenUsed/>
    <w:rsid w:val="003D0F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D0F49"/>
  </w:style>
  <w:style w:type="paragraph" w:styleId="Nessunaspaziatura">
    <w:name w:val="No Spacing"/>
    <w:link w:val="NessunaspaziaturaCarattere"/>
    <w:uiPriority w:val="1"/>
    <w:qFormat/>
    <w:rsid w:val="003D0F49"/>
    <w:pPr>
      <w:spacing w:after="0" w:line="240" w:lineRule="auto"/>
    </w:pPr>
  </w:style>
  <w:style w:type="character" w:customStyle="1" w:styleId="NessunaspaziaturaCarattere">
    <w:name w:val="Nessuna spaziatura Carattere"/>
    <w:basedOn w:val="Carpredefinitoparagrafo"/>
    <w:link w:val="Nessunaspaziatura"/>
    <w:uiPriority w:val="1"/>
    <w:rsid w:val="003D0F49"/>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39014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9014E"/>
    <w:rPr>
      <w:sz w:val="20"/>
      <w:szCs w:val="20"/>
    </w:rPr>
  </w:style>
  <w:style w:type="character" w:styleId="Rimandonotaapidipagina">
    <w:name w:val="footnote reference"/>
    <w:basedOn w:val="Carpredefinitoparagrafo"/>
    <w:uiPriority w:val="99"/>
    <w:semiHidden/>
    <w:unhideWhenUsed/>
    <w:rsid w:val="0039014E"/>
    <w:rPr>
      <w:vertAlign w:val="superscript"/>
    </w:rPr>
  </w:style>
  <w:style w:type="paragraph" w:styleId="Intestazione">
    <w:name w:val="header"/>
    <w:basedOn w:val="Normale"/>
    <w:link w:val="IntestazioneCarattere"/>
    <w:uiPriority w:val="99"/>
    <w:unhideWhenUsed/>
    <w:rsid w:val="003D0F4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0F49"/>
  </w:style>
  <w:style w:type="paragraph" w:styleId="Pidipagina">
    <w:name w:val="footer"/>
    <w:basedOn w:val="Normale"/>
    <w:link w:val="PidipaginaCarattere"/>
    <w:uiPriority w:val="99"/>
    <w:semiHidden/>
    <w:unhideWhenUsed/>
    <w:rsid w:val="003D0F4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D0F49"/>
  </w:style>
  <w:style w:type="paragraph" w:styleId="Nessunaspaziatura">
    <w:name w:val="No Spacing"/>
    <w:link w:val="NessunaspaziaturaCarattere"/>
    <w:uiPriority w:val="1"/>
    <w:qFormat/>
    <w:rsid w:val="003D0F49"/>
    <w:pPr>
      <w:spacing w:after="0" w:line="240" w:lineRule="auto"/>
    </w:pPr>
  </w:style>
  <w:style w:type="character" w:customStyle="1" w:styleId="NessunaspaziaturaCarattere">
    <w:name w:val="Nessuna spaziatura Carattere"/>
    <w:basedOn w:val="Carpredefinitoparagrafo"/>
    <w:link w:val="Nessunaspaziatura"/>
    <w:uiPriority w:val="1"/>
    <w:rsid w:val="003D0F4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C9CF9-5526-490B-9505-93B0B0F6A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1746</Words>
  <Characters>9958</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11681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Carla.Canullo</cp:lastModifiedBy>
  <cp:revision>2</cp:revision>
  <dcterms:created xsi:type="dcterms:W3CDTF">2013-01-14T16:33:00Z</dcterms:created>
  <dcterms:modified xsi:type="dcterms:W3CDTF">2013-01-14T16:33:00Z</dcterms:modified>
</cp:coreProperties>
</file>