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</w:pPr>
      <w:r>
        <w:rPr>
          <w:rFonts w:ascii="Times" w:hAnsi="Times" w:cs="Times"/>
          <w:sz w:val="40"/>
          <w:sz-cs w:val="40"/>
          <w:b/>
          <w:color w:val="333333"/>
        </w:rPr>
        <w:t xml:space="preserve">Cesare Catà</w:t>
      </w:r>
    </w:p>
    <w:p>
      <w:pPr>
        <w:jc w:val="center"/>
        <w:spacing w:after="240"/>
      </w:pPr>
      <w:r>
        <w:rPr>
          <w:rFonts w:ascii="Arial" w:hAnsi="Arial" w:cs="Arial"/>
          <w:sz w:val="18"/>
          <w:sz-cs w:val="18"/>
          <w:color w:val="333333"/>
        </w:rPr>
        <w:t xml:space="preserve">Via Sauro 30, Porto San Giorgio (Fermo), 63822, Italy</w:t>
      </w:r>
    </w:p>
    <w:p>
      <w:pPr>
        <w:jc w:val="center"/>
      </w:pPr>
      <w:r>
        <w:rPr>
          <w:rFonts w:ascii="Arial" w:hAnsi="Arial" w:cs="Arial"/>
          <w:sz w:val="18"/>
          <w:sz-cs w:val="18"/>
          <w:color w:val="333333"/>
        </w:rPr>
        <w:t xml:space="preserve">Tel: 0039 3313590545 Email: </w:t>
      </w:r>
      <w:r>
        <w:rPr>
          <w:rFonts w:ascii="Arial" w:hAnsi="Arial" w:cs="Arial"/>
          <w:sz w:val="18"/>
          <w:sz-cs w:val="18"/>
        </w:rPr>
        <w:t xml:space="preserve">cesareintower@libero.it</w:t>
      </w:r>
      <w:r>
        <w:rPr>
          <w:rFonts w:ascii="Arial" w:hAnsi="Arial" w:cs="Arial"/>
          <w:sz w:val="18"/>
          <w:sz-cs w:val="18"/>
          <w:color w:val="333333"/>
        </w:rPr>
        <w:t xml:space="preserve"> </w:t>
      </w:r>
    </w:p>
    <w:p>
      <w:pPr>
        <w:spacing w:after="240"/>
      </w:pPr>
      <w:r>
        <w:rPr>
          <w:rFonts w:ascii="Arial" w:hAnsi="Arial" w:cs="Arial"/>
          <w:sz w:val="18"/>
          <w:sz-cs w:val="18"/>
          <w:color w:val="333333"/>
        </w:rPr>
        <w:t xml:space="preserve">________________________________________________________________________________________________</w:t>
      </w:r>
    </w:p>
    <w:p>
      <w:pPr>
        <w:jc w:val="center"/>
      </w:pPr>
      <w:r>
        <w:rPr>
          <w:rFonts w:ascii="Arial" w:hAnsi="Arial" w:cs="Arial"/>
          <w:sz w:val="18"/>
          <w:sz-cs w:val="18"/>
          <w:b/>
          <w:color w:val="000000"/>
        </w:rPr>
        <w:t xml:space="preserve">Objective: To work as a </w:t>
      </w:r>
      <w:r>
        <w:rPr>
          <w:rFonts w:ascii="Arial" w:hAnsi="Arial" w:cs="Arial"/>
          <w:sz w:val="18"/>
          <w:sz-cs w:val="18"/>
          <w:color w:val="042776"/>
        </w:rPr>
        <w:t xml:space="preserve">Lecturer</w:t>
      </w:r>
      <w:r>
        <w:rPr>
          <w:rFonts w:ascii="Arial" w:hAnsi="Arial" w:cs="Arial"/>
          <w:sz w:val="18"/>
          <w:sz-cs w:val="18"/>
          <w:b/>
          <w:color w:val="000000"/>
        </w:rPr>
        <w:t xml:space="preserve">                  </w:t>
      </w:r>
    </w:p>
    <w:p>
      <w:pPr>
        <w:jc w:val="center"/>
      </w:pPr>
      <w:r>
        <w:rPr>
          <w:rFonts w:ascii="Arial" w:hAnsi="Arial" w:cs="Arial"/>
          <w:sz w:val="18"/>
          <w:sz-cs w:val="18"/>
          <w:b/>
          <w:color w:val="000000"/>
        </w:rPr>
        <w:t xml:space="preserve"/>
      </w:r>
    </w:p>
    <w:p>
      <w:pPr>
        <w:jc w:val="center"/>
      </w:pPr>
      <w:r>
        <w:rPr>
          <w:rFonts w:ascii="Arial" w:hAnsi="Arial" w:cs="Arial"/>
          <w:sz w:val="18"/>
          <w:sz-cs w:val="18"/>
          <w:b/>
          <w:color w:val="000000"/>
        </w:rPr>
        <w:t xml:space="preserve">PERSONAL PROFILE</w:t>
      </w:r>
    </w:p>
    <w:p>
      <w:pPr>
        <w:jc w:val="center"/>
      </w:pPr>
      <w:r>
        <w:rPr>
          <w:rFonts w:ascii="Arial" w:hAnsi="Arial" w:cs="Arial"/>
          <w:sz w:val="18"/>
          <w:sz-cs w:val="18"/>
          <w:color w:val="000000"/>
        </w:rPr>
        <w:t xml:space="preserve">Teaching experience undergraduate and postgraduate level (Philosophy, Comparative Literature, Italian Studies) –  PhD informal supervision – Exceptional Communication Skills – Proactive, multidisciplinary and creative researcher – Experienced in working independently</w:t>
      </w:r>
    </w:p>
    <w:p>
      <w:pPr/>
      <w:r>
        <w:rPr>
          <w:rFonts w:ascii="Arial" w:hAnsi="Arial" w:cs="Arial"/>
          <w:sz w:val="18"/>
          <w:sz-cs w:val="18"/>
          <w:color w:val="000000"/>
        </w:rPr>
        <w:t xml:space="preserve"/>
      </w:r>
    </w:p>
    <w:p>
      <w:pPr/>
      <w:r>
        <w:rPr>
          <w:rFonts w:ascii="Arial" w:hAnsi="Arial" w:cs="Arial"/>
          <w:sz w:val="18"/>
          <w:sz-cs w:val="18"/>
          <w:b/>
          <w:u w:val="single"/>
          <w:color w:val="000000"/>
        </w:rPr>
        <w:t xml:space="preserve">EDUCATION AND AWARDS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2013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b/>
          <w:color w:val="000000"/>
        </w:rPr>
        <w:t xml:space="preserve">Visiting Teacher (Italian Studies)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>Istituto Italiano di Cultura, Dublin (Ireland)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2009 – 2011 (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dissertation to be discussed</w:t>
      </w:r>
      <w:r>
        <w:rPr>
          <w:rFonts w:ascii="Arial" w:hAnsi="Arial" w:cs="Arial"/>
          <w:sz w:val="18"/>
          <w:sz-cs w:val="18"/>
          <w:color w:val="000000"/>
        </w:rPr>
        <w:t xml:space="preserve">)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b/>
          <w:color w:val="000000"/>
        </w:rPr>
        <w:t xml:space="preserve">Post-Doctoral Diploma – Renaissance Art and Philosophy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>École Pratique des Hautes Etudes. Sorbonne, Paris (France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2004-2008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b/>
          <w:color w:val="000000"/>
        </w:rPr>
        <w:t xml:space="preserve">PhD –Philosophy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>University of Macerata (Italy). Department of Philosophy and Humanities. 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Summer 2009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b/>
          <w:color w:val="000000"/>
        </w:rPr>
        <w:t xml:space="preserve">Visiting Summer Fellow </w:t>
      </w:r>
      <w:r>
        <w:rPr>
          <w:rFonts w:ascii="Arial" w:hAnsi="Arial" w:cs="Arial"/>
          <w:sz w:val="18"/>
          <w:sz-cs w:val="18"/>
          <w:color w:val="000000"/>
        </w:rPr>
        <w:t xml:space="preserve">(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not yet developed</w:t>
      </w:r>
      <w:r>
        <w:rPr>
          <w:rFonts w:ascii="Arial" w:hAnsi="Arial" w:cs="Arial"/>
          <w:sz w:val="18"/>
          <w:sz-cs w:val="18"/>
          <w:color w:val="000000"/>
        </w:rPr>
        <w:t xml:space="preserve">)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>Center For Medieval and Renaissance Studies – UCLA (USA)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October 2010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b/>
          <w:color w:val="000000"/>
        </w:rPr>
        <w:t xml:space="preserve">Visiting Scholar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>University College of Dublin, Department of Philosophy, Dublin (Ireland).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January-March 2006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b/>
          <w:color w:val="000000"/>
        </w:rPr>
        <w:t xml:space="preserve">Visiting Scholar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>University of Hawai’i at Manoa, Department of Philosophy, Honolulu (USA).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April-May 2006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b/>
          <w:color w:val="000000"/>
        </w:rPr>
        <w:t xml:space="preserve">Visiting Scholar (Gastforscher)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>Cusanus Institut, Theology University of Trier (Germany).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2000-2004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b/>
          <w:color w:val="000000"/>
        </w:rPr>
        <w:t xml:space="preserve">Master's Degree in Humanities</w:t>
      </w:r>
      <w:r>
        <w:rPr>
          <w:rFonts w:ascii="Arial" w:hAnsi="Arial" w:cs="Arial"/>
          <w:sz w:val="18"/>
          <w:sz-cs w:val="18"/>
          <w:color w:val="000000"/>
        </w:rPr>
        <w:t xml:space="preserve"> (110/110Magna cum Laude) 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>University of Macerata (Italy). Faculty of Literature and Philosophy.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2002-2004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b/>
          <w:color w:val="000000"/>
        </w:rPr>
        <w:t xml:space="preserve">Diploma in Comparative Philosophy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>School of Comparative and Eastern Philosophy, Rimini (Italy).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1995-2000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b/>
          <w:color w:val="000000"/>
        </w:rPr>
        <w:t xml:space="preserve">High School Qualification in Classic Studies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>Annibal Caro’s High School, Fermo (Italy).</w:t>
      </w:r>
    </w:p>
    <w:p>
      <w:pPr/>
      <w:r>
        <w:rPr>
          <w:rFonts w:ascii="Arial" w:hAnsi="Arial" w:cs="Arial"/>
          <w:sz w:val="18"/>
          <w:sz-cs w:val="18"/>
          <w:color w:val="000000"/>
        </w:rPr>
        <w:t xml:space="preserve"/>
      </w:r>
    </w:p>
    <w:p>
      <w:pPr/>
      <w:r>
        <w:rPr>
          <w:rFonts w:ascii="Arial" w:hAnsi="Arial" w:cs="Arial"/>
          <w:sz w:val="18"/>
          <w:sz-cs w:val="18"/>
          <w:b/>
          <w:u w:val="single"/>
          <w:color w:val="000000"/>
        </w:rPr>
        <w:t xml:space="preserve">QUALIFICATIONS</w:t>
      </w:r>
      <w:r>
        <w:rPr>
          <w:rFonts w:ascii="Arial" w:hAnsi="Arial" w:cs="Arial"/>
          <w:sz w:val="18"/>
          <w:sz-cs w:val="18"/>
          <w:b/>
          <w:color w:val="000000"/>
        </w:rPr>
        <w:t xml:space="preserve"> </w:t>
      </w:r>
    </w:p>
    <w:p>
      <w:pPr>
        <w:ind w:left="720"/>
        <w:spacing w:after="1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 </w:t>
      </w:r>
      <w:r>
        <w:rPr>
          <w:rFonts w:ascii="Arial" w:hAnsi="Arial" w:cs="Arial"/>
          <w:sz w:val="18"/>
          <w:sz-cs w:val="18"/>
          <w:b/>
          <w:color w:val="000000"/>
        </w:rPr>
        <w:t xml:space="preserve">DITALS</w:t>
      </w:r>
      <w:r>
        <w:rPr>
          <w:rFonts w:ascii="Arial" w:hAnsi="Arial" w:cs="Arial"/>
          <w:sz w:val="18"/>
          <w:sz-cs w:val="18"/>
          <w:color w:val="000000"/>
        </w:rPr>
        <w:t xml:space="preserve"> Qualification to teach Italian as a Foreign Language</w:t>
      </w:r>
      <w:r>
        <w:rPr>
          <w:rFonts w:ascii="Arial" w:hAnsi="Arial" w:cs="Arial"/>
          <w:sz w:val="18"/>
          <w:sz-cs w:val="18"/>
          <w:b/>
          <w:color w:val="000000"/>
        </w:rPr>
        <w:t xml:space="preserve">.  </w:t>
      </w:r>
      <w:r>
        <w:rPr>
          <w:rFonts w:ascii="Arial" w:hAnsi="Arial" w:cs="Arial"/>
          <w:sz w:val="18"/>
          <w:sz-cs w:val="18"/>
          <w:color w:val="000000"/>
        </w:rPr>
        <w:t xml:space="preserve">Issued by: </w:t>
      </w:r>
      <w:r>
        <w:rPr>
          <w:rFonts w:ascii="Arial" w:hAnsi="Arial" w:cs="Arial"/>
          <w:sz w:val="18"/>
          <w:sz-cs w:val="18"/>
          <w:b/>
          <w:i/>
          <w:color w:val="000000"/>
        </w:rPr>
        <w:t xml:space="preserve">Università per stranieri di Siena</w:t>
      </w:r>
    </w:p>
    <w:p>
      <w:pPr>
        <w:jc w:val="both"/>
        <w:ind w:left="720"/>
        <w:spacing w:after="120"/>
      </w:pPr>
      <w:r>
        <w:rPr>
          <w:rFonts w:ascii="Arial" w:hAnsi="Arial" w:cs="Arial"/>
          <w:sz w:val="18"/>
          <w:sz-cs w:val="18"/>
          <w:b/>
          <w:color w:val="000000"/>
        </w:rPr>
        <w:t xml:space="preserve"/>
        <w:tab/>
        <w:t xml:space="preserve">•</w:t>
        <w:tab/>
        <w:t xml:space="preserve">TKT </w:t>
      </w:r>
      <w:r>
        <w:rPr>
          <w:rFonts w:ascii="Arial" w:hAnsi="Arial" w:cs="Arial"/>
          <w:sz w:val="18"/>
          <w:sz-cs w:val="18"/>
          <w:color w:val="000000"/>
        </w:rPr>
        <w:t xml:space="preserve">(Teaching Knowledge Test – Lesson Planning and use of resources for language teaching)</w:t>
      </w:r>
      <w:r>
        <w:rPr>
          <w:rFonts w:ascii="Arial" w:hAnsi="Arial" w:cs="Arial"/>
          <w:sz w:val="18"/>
          <w:sz-cs w:val="18"/>
          <w:b/>
          <w:color w:val="000000"/>
        </w:rPr>
        <w:t xml:space="preserve">. </w:t>
      </w:r>
      <w:r>
        <w:rPr>
          <w:rFonts w:ascii="Arial" w:hAnsi="Arial" w:cs="Arial"/>
          <w:sz w:val="18"/>
          <w:sz-cs w:val="18"/>
          <w:color w:val="000000"/>
        </w:rPr>
        <w:t xml:space="preserve">Issued by: </w:t>
      </w:r>
      <w:r>
        <w:rPr>
          <w:rFonts w:ascii="Arial" w:hAnsi="Arial" w:cs="Arial"/>
          <w:sz w:val="18"/>
          <w:sz-cs w:val="18"/>
          <w:b/>
          <w:i/>
          <w:color w:val="000000"/>
        </w:rPr>
        <w:t xml:space="preserve">University of Cambridge</w:t>
      </w:r>
      <w:r>
        <w:rPr>
          <w:rFonts w:ascii="Arial" w:hAnsi="Arial" w:cs="Arial"/>
          <w:sz w:val="18"/>
          <w:sz-cs w:val="18"/>
          <w:color w:val="000000"/>
        </w:rPr>
        <w:t xml:space="preserve"> </w:t>
      </w:r>
    </w:p>
    <w:p>
      <w:pPr>
        <w:jc w:val="both"/>
        <w:ind w:left="720"/>
        <w:spacing w:after="120"/>
      </w:pPr>
      <w:r>
        <w:rPr>
          <w:rFonts w:ascii="Arial" w:hAnsi="Arial" w:cs="Arial"/>
          <w:sz w:val="18"/>
          <w:sz-cs w:val="18"/>
          <w:b/>
          <w:color w:val="000000"/>
        </w:rPr>
        <w:t xml:space="preserve"/>
        <w:tab/>
        <w:t xml:space="preserve">•</w:t>
        <w:tab/>
        <w:t xml:space="preserve">DALF</w:t>
      </w:r>
      <w:r>
        <w:rPr>
          <w:rFonts w:ascii="Arial" w:hAnsi="Arial" w:cs="Arial"/>
          <w:sz w:val="18"/>
          <w:sz-cs w:val="18"/>
          <w:color w:val="000000"/>
        </w:rPr>
        <w:t xml:space="preserve"> (Diplôme Approfondi de Langue Française – Lettres et Sciences Humaines) Higher Diploma in Literary French</w:t>
      </w:r>
      <w:r>
        <w:rPr>
          <w:rFonts w:ascii="Arial" w:hAnsi="Arial" w:cs="Arial"/>
          <w:sz w:val="18"/>
          <w:sz-cs w:val="18"/>
          <w:b/>
          <w:color w:val="000000"/>
        </w:rPr>
        <w:t xml:space="preserve">.  </w:t>
      </w:r>
      <w:r>
        <w:rPr>
          <w:rFonts w:ascii="Arial" w:hAnsi="Arial" w:cs="Arial"/>
          <w:sz w:val="18"/>
          <w:sz-cs w:val="18"/>
          <w:color w:val="000000"/>
        </w:rPr>
        <w:t xml:space="preserve">Issued by: </w:t>
      </w:r>
      <w:r>
        <w:rPr>
          <w:rFonts w:ascii="Arial" w:hAnsi="Arial" w:cs="Arial"/>
          <w:sz w:val="18"/>
          <w:sz-cs w:val="18"/>
          <w:b/>
          <w:i/>
          <w:color w:val="000000"/>
        </w:rPr>
        <w:t xml:space="preserve">Ministère de l'Education Nationale française</w:t>
      </w:r>
      <w:r>
        <w:rPr>
          <w:rFonts w:ascii="Arial" w:hAnsi="Arial" w:cs="Arial"/>
          <w:sz w:val="18"/>
          <w:sz-cs w:val="18"/>
          <w:u w:val="single"/>
          <w:color w:val="000000"/>
        </w:rPr>
        <w:t xml:space="preserve"> </w:t>
      </w:r>
    </w:p>
    <w:p>
      <w:pPr>
        <w:jc w:val="both"/>
        <w:ind w:left="720"/>
        <w:spacing w:after="120"/>
      </w:pPr>
      <w:r>
        <w:rPr>
          <w:rFonts w:ascii="Arial" w:hAnsi="Arial" w:cs="Arial"/>
          <w:sz w:val="18"/>
          <w:sz-cs w:val="18"/>
          <w:b/>
          <w:color w:val="000000"/>
        </w:rPr>
        <w:t xml:space="preserve"/>
        <w:tab/>
        <w:t xml:space="preserve">•</w:t>
        <w:tab/>
        <w:t xml:space="preserve">IELTS </w:t>
      </w:r>
      <w:r>
        <w:rPr>
          <w:rFonts w:ascii="Arial" w:hAnsi="Arial" w:cs="Arial"/>
          <w:sz w:val="18"/>
          <w:sz-cs w:val="18"/>
          <w:color w:val="000000"/>
        </w:rPr>
        <w:t xml:space="preserve">(6.5)</w:t>
      </w:r>
    </w:p>
    <w:p>
      <w:pPr>
        <w:jc w:val="both"/>
        <w:ind w:left="720"/>
        <w:spacing w:after="1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Recognized Didactic Teacher (Formatore nella gestione del processo didattico)</w:t>
      </w:r>
      <w:r>
        <w:rPr>
          <w:rFonts w:ascii="Arial" w:hAnsi="Arial" w:cs="Arial"/>
          <w:sz w:val="18"/>
          <w:sz-cs w:val="18"/>
          <w:b/>
          <w:color w:val="000000"/>
        </w:rPr>
        <w:t xml:space="preserve">.</w:t>
      </w:r>
      <w:r>
        <w:rPr>
          <w:rFonts w:ascii="Arial" w:hAnsi="Arial" w:cs="Arial"/>
          <w:sz w:val="18"/>
          <w:sz-cs w:val="18"/>
          <w:color w:val="000000"/>
        </w:rPr>
        <w:t xml:space="preserve"> Issued by: </w:t>
      </w:r>
      <w:r>
        <w:rPr>
          <w:rFonts w:ascii="Arial" w:hAnsi="Arial" w:cs="Arial"/>
          <w:sz w:val="18"/>
          <w:sz-cs w:val="18"/>
          <w:b/>
          <w:i/>
          <w:color w:val="000000"/>
        </w:rPr>
        <w:t xml:space="preserve">Marche Regional Institution</w:t>
      </w:r>
    </w:p>
    <w:p>
      <w:pPr>
        <w:spacing w:after="240"/>
      </w:pPr>
      <w:r>
        <w:rPr>
          <w:rFonts w:ascii="Arial" w:hAnsi="Arial" w:cs="Arial"/>
          <w:sz w:val="18"/>
          <w:sz-cs w:val="18"/>
          <w:b/>
          <w:i/>
          <w:color w:val="000000"/>
        </w:rPr>
        <w:t xml:space="preserve"/>
      </w:r>
    </w:p>
    <w:p>
      <w:pPr/>
      <w:r>
        <w:rPr>
          <w:rFonts w:ascii="Arial" w:hAnsi="Arial" w:cs="Arial"/>
          <w:sz w:val="18"/>
          <w:sz-cs w:val="18"/>
          <w:b/>
          <w:u w:val="single"/>
          <w:color w:val="000000"/>
        </w:rPr>
        <w:t xml:space="preserve">RESEARCH INTERESTS</w:t>
      </w:r>
    </w:p>
    <w:p>
      <w:pPr>
        <w:jc w:val="both"/>
        <w:spacing w:after="120"/>
      </w:pPr>
      <w:r>
        <w:rPr>
          <w:rFonts w:ascii="Arial" w:hAnsi="Arial" w:cs="Arial"/>
          <w:sz w:val="18"/>
          <w:sz-cs w:val="18"/>
          <w:b/>
          <w:color w:val="000000"/>
        </w:rPr>
        <w:t xml:space="preserve">My Areas of Specialization cover Ancient-Renaissance Neoplatonism, Aesthetics, History of Philosophy. I am particularly interested in the interrelationships between Ancient and Contemporary Philosophy and Literature. Prominent in my future research plans is the study of Carl Gustav Jung'psychology as well as a philosophical investigate not Shakespearian dramas. </w:t>
      </w:r>
    </w:p>
    <w:p>
      <w:pPr>
        <w:jc w:val="both"/>
        <w:spacing w:after="120"/>
      </w:pPr>
      <w:r>
        <w:rPr>
          <w:rFonts w:ascii="Arial" w:hAnsi="Arial" w:cs="Arial"/>
          <w:sz w:val="18"/>
          <w:sz-cs w:val="18"/>
          <w:b/>
          <w:u w:val="single"/>
          <w:color w:val="000000"/>
        </w:rPr>
        <w:t xml:space="preserve">TEACHING EXPERIENCE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First year Philosophy module “Renaissance Philosophy”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Italian and Comparative Literature (Annual Seminar)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One seminar per week with 20 students for ten weeks (History of Neoplatonisme)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Planned, wrote and led seminars</w:t>
      </w:r>
    </w:p>
    <w:p>
      <w:pPr/>
      <w:r>
        <w:rPr>
          <w:rFonts w:ascii="Arial" w:hAnsi="Arial" w:cs="Arial"/>
          <w:sz w:val="18"/>
          <w:sz-cs w:val="18"/>
          <w:b/>
          <w:u w:val="single"/>
          <w:color w:val="000000"/>
        </w:rPr>
        <w:t xml:space="preserve">ADMINISTRATION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Assisted in examining, talking to students and parents at Open Days and invigilating examinations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Responsibility for leading a team of students in planning and organizing a university conference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Experienced in report writing and writing up research work</w:t>
      </w:r>
    </w:p>
    <w:p>
      <w:pPr/>
      <w:r>
        <w:rPr>
          <w:rFonts w:ascii="Arial" w:hAnsi="Arial" w:cs="Arial"/>
          <w:sz w:val="18"/>
          <w:sz-cs w:val="18"/>
          <w:b/>
          <w:u w:val="single"/>
          <w:color w:val="000000"/>
        </w:rPr>
        <w:t xml:space="preserve">SKILLS</w:t>
      </w:r>
    </w:p>
    <w:p>
      <w:pPr/>
      <w:r>
        <w:rPr>
          <w:rFonts w:ascii="Arial" w:hAnsi="Arial" w:cs="Arial"/>
          <w:sz w:val="18"/>
          <w:sz-cs w:val="18"/>
          <w:b/>
          <w:color w:val="000000"/>
        </w:rPr>
        <w:t xml:space="preserve">IT                    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Confident in use of various software packages: SQL, Windows, Unix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Ms Windows XP and MS Word 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CAT tools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Internet Explorer and several e-mail packages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CMS and digital publishing.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Skilled database writer and user                    </w:t>
      </w:r>
    </w:p>
    <w:p>
      <w:pPr/>
      <w:r>
        <w:rPr>
          <w:rFonts w:ascii="Arial" w:hAnsi="Arial" w:cs="Arial"/>
          <w:sz w:val="18"/>
          <w:sz-cs w:val="18"/>
          <w:b/>
          <w:color w:val="000000"/>
        </w:rPr>
        <w:t xml:space="preserve">Communications</w:t>
      </w:r>
      <w:r>
        <w:rPr>
          <w:rFonts w:ascii="Arial" w:hAnsi="Arial" w:cs="Arial"/>
          <w:sz w:val="18"/>
          <w:sz-cs w:val="18"/>
          <w:color w:val="000000"/>
        </w:rPr>
        <w:t xml:space="preserve">     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Worked closely with research colleagues, department staff and external contacts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Experienced in working with a wide range of students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Made presentations to both academic and non-specialist audiences</w:t>
      </w:r>
      <w:r>
        <w:rPr>
          <w:rFonts w:ascii="Arial" w:hAnsi="Arial" w:cs="Arial"/>
          <w:sz w:val="18"/>
          <w:sz-cs w:val="18"/>
          <w:b/>
          <w:color w:val="000000"/>
        </w:rPr>
        <w:t xml:space="preserve">                                   </w:t>
      </w:r>
    </w:p>
    <w:p>
      <w:pPr/>
      <w:r>
        <w:rPr>
          <w:rFonts w:ascii="Arial" w:hAnsi="Arial" w:cs="Arial"/>
          <w:sz w:val="18"/>
          <w:sz-cs w:val="18"/>
          <w:b/>
          <w:color w:val="000000"/>
        </w:rPr>
        <w:t xml:space="preserve">Positions of Responsibility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Participated in academic and policy dissemination activities and workshops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Supported students’ research activities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Undertook administrative tasks relating to student induction programme</w:t>
      </w:r>
    </w:p>
    <w:p>
      <w:pPr/>
      <w:r>
        <w:rPr>
          <w:rFonts w:ascii="Arial" w:hAnsi="Arial" w:cs="Arial"/>
          <w:sz w:val="18"/>
          <w:sz-cs w:val="18"/>
          <w:color w:val="000000"/>
        </w:rPr>
        <w:t xml:space="preserve"/>
      </w:r>
    </w:p>
    <w:p>
      <w:pPr>
        <w:jc w:val="both"/>
      </w:pPr>
      <w:r>
        <w:rPr>
          <w:rFonts w:ascii="Arial" w:hAnsi="Arial" w:cs="Arial"/>
          <w:sz w:val="18"/>
          <w:sz-cs w:val="18"/>
          <w:b/>
          <w:u w:val="single"/>
          <w:color w:val="000000"/>
        </w:rPr>
        <w:t xml:space="preserve">LANGUAGES </w:t>
      </w:r>
      <w:r>
        <w:rPr>
          <w:rFonts w:ascii="Arial" w:hAnsi="Arial" w:cs="Arial"/>
          <w:sz w:val="18"/>
          <w:sz-cs w:val="18"/>
          <w:color w:val="000000"/>
        </w:rPr>
        <w:t xml:space="preserve">(CEFR)</w:t>
      </w:r>
    </w:p>
    <w:p>
      <w:pPr>
        <w:ind w:left="720"/>
      </w:pPr>
      <w:r>
        <w:rPr>
          <w:rFonts w:ascii="Arial" w:hAnsi="Arial" w:cs="Arial"/>
          <w:sz w:val="18"/>
          <w:sz-cs w:val="18"/>
          <w:u w:val="single"/>
          <w:color w:val="000000"/>
        </w:rPr>
        <w:t xml:space="preserve">Language</w:t>
      </w:r>
    </w:p>
    <w:p>
      <w:pPr>
        <w:ind w:left="720"/>
      </w:pPr>
      <w:r>
        <w:rPr>
          <w:rFonts w:ascii="Arial" w:hAnsi="Arial" w:cs="Arial"/>
          <w:sz w:val="18"/>
          <w:sz-cs w:val="18"/>
          <w:u w:val="single"/>
          <w:color w:val="000000"/>
        </w:rPr>
        <w:t xml:space="preserve">Listening/Speaking </w:t>
      </w:r>
    </w:p>
    <w:p>
      <w:pPr>
        <w:ind w:left="720"/>
      </w:pPr>
      <w:r>
        <w:rPr>
          <w:rFonts w:ascii="Arial" w:hAnsi="Arial" w:cs="Arial"/>
          <w:sz w:val="18"/>
          <w:sz-cs w:val="18"/>
          <w:u w:val="single"/>
          <w:color w:val="000000"/>
        </w:rPr>
        <w:t xml:space="preserve">Reading/Writing</w:t>
      </w:r>
    </w:p>
    <w:p>
      <w:pPr/>
      <w:r>
        <w:rPr>
          <w:rFonts w:ascii="Arial" w:hAnsi="Arial" w:cs="Arial"/>
          <w:sz w:val="18"/>
          <w:sz-cs w:val="18"/>
          <w:color w:val="000000"/>
        </w:rPr>
        <w:t xml:space="preserve">        -     </w:t>
      </w:r>
      <w:r>
        <w:rPr>
          <w:rFonts w:ascii="Arial" w:hAnsi="Arial" w:cs="Arial"/>
          <w:sz w:val="18"/>
          <w:sz-cs w:val="18"/>
          <w:u w:val="single"/>
          <w:color w:val="000000"/>
        </w:rPr>
        <w:t xml:space="preserve">Italian(Mother tongue)</w:t>
      </w:r>
    </w:p>
    <w:p>
      <w:pPr/>
      <w:r>
        <w:rPr>
          <w:rFonts w:ascii="Arial" w:hAnsi="Arial" w:cs="Arial"/>
          <w:sz w:val="18"/>
          <w:sz-cs w:val="18"/>
          <w:color w:val="000000"/>
        </w:rPr>
        <w:t xml:space="preserve">               Excellent</w:t>
      </w:r>
    </w:p>
    <w:p>
      <w:pPr/>
      <w:r>
        <w:rPr>
          <w:rFonts w:ascii="Arial" w:hAnsi="Arial" w:cs="Arial"/>
          <w:sz w:val="18"/>
          <w:sz-cs w:val="18"/>
          <w:color w:val="000000"/>
        </w:rPr>
        <w:t xml:space="preserve">               Excellent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18"/>
          <w:sz-cs w:val="18"/>
          <w:u w:val="single"/>
          <w:color w:val="000000"/>
        </w:rPr>
        <w:t xml:space="preserve">English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>Proficient User(C1)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>Proficient User (C2)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18"/>
          <w:sz-cs w:val="18"/>
          <w:u w:val="single"/>
          <w:color w:val="000000"/>
        </w:rPr>
        <w:t xml:space="preserve">French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>Proficient User(C1)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>Proficient User (C1)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18"/>
          <w:sz-cs w:val="18"/>
          <w:u w:val="single"/>
          <w:color w:val="000000"/>
        </w:rPr>
        <w:t xml:space="preserve">German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>Basic User(B1)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>Basic User(B1)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18"/>
          <w:sz-cs w:val="18"/>
          <w:u w:val="single"/>
          <w:color w:val="000000"/>
        </w:rPr>
        <w:t xml:space="preserve">Spanish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>Basic User(A2)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>Basic User(B1)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18"/>
          <w:sz-cs w:val="18"/>
          <w:u w:val="single"/>
          <w:color w:val="000000"/>
        </w:rPr>
        <w:t xml:space="preserve">Latin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>-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>Very Good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18"/>
          <w:sz-cs w:val="18"/>
          <w:u w:val="single"/>
          <w:color w:val="000000"/>
        </w:rPr>
        <w:t xml:space="preserve">Ancient Greek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>-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>Good</w:t>
      </w:r>
    </w:p>
    <w:p>
      <w:pPr/>
      <w:r>
        <w:rPr>
          <w:rFonts w:ascii="Arial" w:hAnsi="Arial" w:cs="Arial"/>
          <w:sz w:val="18"/>
          <w:sz-cs w:val="18"/>
          <w:color w:val="000000"/>
        </w:rPr>
        <w:t xml:space="preserve"/>
      </w:r>
    </w:p>
    <w:p>
      <w:pPr/>
      <w:r>
        <w:rPr>
          <w:rFonts w:ascii="Arial" w:hAnsi="Arial" w:cs="Arial"/>
          <w:sz w:val="18"/>
          <w:sz-cs w:val="18"/>
          <w:b/>
          <w:color w:val="333333"/>
        </w:rPr>
        <w:t xml:space="preserve">PRINCIPAL CONFERENCES ATTENDED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333333"/>
        </w:rPr>
        <w:t xml:space="preserve"/>
        <w:tab/>
        <w:t xml:space="preserve">•</w:t>
        <w:tab/>
        <w:t xml:space="preserve"> </w:t>
      </w:r>
      <w:r>
        <w:rPr>
          <w:rFonts w:ascii="Arial" w:hAnsi="Arial" w:cs="Arial"/>
          <w:sz w:val="18"/>
          <w:sz-cs w:val="18"/>
        </w:rPr>
        <w:t xml:space="preserve">“Infini et altérité dans l’œuvre de Nicolas de Cues”, Colloque International, Université de Nice Sophia-Antipolis, April 2013. Presented paper: “</w:t>
      </w:r>
      <w:r>
        <w:rPr>
          <w:rFonts w:ascii="Arial" w:hAnsi="Arial" w:cs="Arial"/>
          <w:sz w:val="18"/>
          <w:sz-cs w:val="18"/>
          <w:i/>
        </w:rPr>
        <w:t xml:space="preserve">L'infini comme non-altérité : la psychologie des profondeurs dans la pensée de Nicolas de Cues</w:t>
      </w:r>
      <w:r>
        <w:rPr>
          <w:rFonts w:ascii="Arial" w:hAnsi="Arial" w:cs="Arial"/>
          <w:sz w:val="18"/>
          <w:sz-cs w:val="18"/>
        </w:rPr>
        <w:t xml:space="preserve">” ;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 “Identità e Memoria: Identità e ruolo strategico dell’Europa al tempo della crisi. XVII Corso d’Estate Università di San Marino”, San Marino (RSM), July, 20-21. Presented paper: “L’Europa di Lorenzo il Magnifico e l’Europa di Machiavelli. 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Il destino della pluralità dei popoli dall’unità europea all’Europa Unità</w:t>
      </w:r>
      <w:r>
        <w:rPr>
          <w:rFonts w:ascii="Arial" w:hAnsi="Arial" w:cs="Arial"/>
          <w:sz w:val="18"/>
          <w:sz-cs w:val="18"/>
          <w:color w:val="000000"/>
        </w:rPr>
        <w:t xml:space="preserve">”;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> “Tenth Annual International Society For Neoplatonic Studies Conference”, Cagliari (Italy), June 20-23, 2012. Presented paper: “</w:t>
      </w:r>
      <w:r>
        <w:rPr>
          <w:rFonts w:ascii="Arial" w:hAnsi="Arial" w:cs="Arial"/>
          <w:sz w:val="18"/>
          <w:sz-cs w:val="18"/>
          <w:i/>
        </w:rPr>
        <w:t xml:space="preserve">A God-like Reason: Ficino’s Platonic Legacy and William Shakespeare</w:t>
      </w:r>
      <w:r>
        <w:rPr>
          <w:rFonts w:ascii="Arial" w:hAnsi="Arial" w:cs="Arial"/>
          <w:sz w:val="18"/>
          <w:sz-cs w:val="18"/>
        </w:rPr>
        <w:t xml:space="preserve">”;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>“Emerging Perspectives: Religion and Ireland”, University College of Cork (Ireland), May 22-25, 2012. Presented paper: “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Fantasy and the Sacred: Philosophical and spiritual meanings in Irish Fairy Tales</w:t>
      </w:r>
      <w:r>
        <w:rPr>
          <w:rFonts w:ascii="Arial" w:hAnsi="Arial" w:cs="Arial"/>
          <w:sz w:val="18"/>
          <w:sz-cs w:val="18"/>
          <w:color w:val="000000"/>
        </w:rPr>
        <w:t xml:space="preserve">”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>“Charles de Bovelles Philosophe et Pédag</w:t>
      </w:r>
      <w:r>
        <w:rPr>
          <w:rFonts w:ascii="Arial" w:hAnsi="Arial" w:cs="Arial"/>
          <w:sz w:val="18"/>
          <w:sz-cs w:val="18"/>
          <w:color w:val="000000"/>
        </w:rPr>
        <w:t xml:space="preserve">ogue”, Tours (France), Mars 26-27, 2012. Presented paper : “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Le Sage et le Néant. Le concept de Soi</w:t>
      </w:r>
      <w:r>
        <w:rPr>
          <w:rFonts w:ascii="Arial" w:hAnsi="Arial" w:cs="Arial"/>
          <w:sz w:val="18"/>
          <w:sz-cs w:val="18"/>
          <w:i/>
        </w:rPr>
        <w:t xml:space="preserve">dans le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 </w:t>
      </w:r>
      <w:r>
        <w:rPr>
          <w:rFonts w:ascii="Arial" w:hAnsi="Arial" w:cs="Arial"/>
          <w:sz w:val="18"/>
          <w:sz-cs w:val="18"/>
          <w:i/>
        </w:rPr>
        <w:t xml:space="preserve">Liber de Sapiente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 </w:t>
      </w:r>
      <w:r>
        <w:rPr>
          <w:rFonts w:ascii="Arial" w:hAnsi="Arial" w:cs="Arial"/>
          <w:sz w:val="18"/>
          <w:sz-cs w:val="18"/>
          <w:i/>
        </w:rPr>
        <w:t xml:space="preserve">et le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 </w:t>
      </w:r>
      <w:r>
        <w:rPr>
          <w:rFonts w:ascii="Arial" w:hAnsi="Arial" w:cs="Arial"/>
          <w:sz w:val="18"/>
          <w:sz-cs w:val="18"/>
          <w:i/>
        </w:rPr>
        <w:t xml:space="preserve">Libellus de Nihilo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 </w:t>
      </w:r>
      <w:r>
        <w:rPr>
          <w:rFonts w:ascii="Arial" w:hAnsi="Arial" w:cs="Arial"/>
          <w:sz w:val="18"/>
          <w:sz-cs w:val="18"/>
          <w:i/>
        </w:rPr>
        <w:t xml:space="preserve">de Charles de Bovelles</w:t>
      </w:r>
      <w:r>
        <w:rPr>
          <w:rFonts w:ascii="Arial" w:hAnsi="Arial" w:cs="Arial"/>
          <w:sz w:val="18"/>
          <w:sz-cs w:val="18"/>
          <w:color w:val="000000"/>
        </w:rPr>
        <w:t xml:space="preserve">”; 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> “Il ritorno dei Piccoli Stati: XVI Corso d’Estate Università di San Marino”, San Marino (RSM), July, 15-17, 2011. Presented paper: </w:t>
      </w:r>
      <w:r>
        <w:rPr>
          <w:rFonts w:ascii="Arial" w:hAnsi="Arial" w:cs="Arial"/>
          <w:sz w:val="18"/>
          <w:sz-cs w:val="18"/>
          <w:i/>
        </w:rPr>
        <w:t xml:space="preserve">“Renaissance Italian Courts and the Geo-Political Perspectives of territorial Self-governments in Contemporary Europe</w:t>
      </w:r>
      <w:r>
        <w:rPr>
          <w:rFonts w:ascii="Arial" w:hAnsi="Arial" w:cs="Arial"/>
          <w:sz w:val="18"/>
          <w:sz-cs w:val="18"/>
        </w:rPr>
        <w:t xml:space="preserve">”;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>Shakespeare Conference 2011”, Florence (Italy), April 15, 2011. Presented Paper: “</w:t>
      </w:r>
      <w:r>
        <w:rPr>
          <w:rFonts w:ascii="Arial" w:hAnsi="Arial" w:cs="Arial"/>
          <w:sz w:val="18"/>
          <w:sz-cs w:val="18"/>
          <w:i/>
        </w:rPr>
        <w:t xml:space="preserve">Juliet as a Paradox. Shakespeare's Idea of Love and Renaissance Neoplatonism</w:t>
      </w:r>
      <w:r>
        <w:rPr>
          <w:rFonts w:ascii="Arial" w:hAnsi="Arial" w:cs="Arial"/>
          <w:sz w:val="18"/>
          <w:sz-cs w:val="18"/>
        </w:rPr>
        <w:t xml:space="preserve">”;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>“56 Annual Meeting of Renaissance Society of America”, Venice (Italy), April, 8-10, 2010. Presented Paper: “</w:t>
      </w:r>
      <w:r>
        <w:rPr>
          <w:rFonts w:ascii="Arial" w:hAnsi="Arial" w:cs="Arial"/>
          <w:sz w:val="18"/>
          <w:sz-cs w:val="18"/>
          <w:i/>
        </w:rPr>
        <w:t xml:space="preserve">The Divine Destiny of Human Passage: Charles de Bovelles as a Disciple of Ramon Lull’s Ideas of Philosophy and Life</w:t>
      </w:r>
      <w:r>
        <w:rPr>
          <w:rFonts w:ascii="Arial" w:hAnsi="Arial" w:cs="Arial"/>
          <w:sz w:val="18"/>
          <w:sz-cs w:val="18"/>
        </w:rPr>
        <w:t xml:space="preserve">”;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>“Cusanus and Eriugena International Conference”, John Paul II Catholic University, Lublin (Poland), September, 22-24, 2009. Presented paper: “</w:t>
      </w:r>
      <w:r>
        <w:rPr>
          <w:rFonts w:ascii="Arial" w:hAnsi="Arial" w:cs="Arial"/>
          <w:sz w:val="18"/>
          <w:sz-cs w:val="18"/>
          <w:i/>
        </w:rPr>
        <w:t xml:space="preserve">The 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Irish Roots of Eriugena's Philosophy and their Cultural Heritage in Nicholas of Cues</w:t>
      </w:r>
      <w:r>
        <w:rPr>
          <w:rFonts w:ascii="Arial" w:hAnsi="Arial" w:cs="Arial"/>
          <w:sz w:val="18"/>
          <w:sz-cs w:val="18"/>
        </w:rPr>
        <w:t xml:space="preserve">”;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>“Re-Enchantment of the World? Technology between Enlightenment, Progress, Myth and Magic”. Technische Universität, Department of Philosophy, Darmstadt (Germany), August, 19-22, 2010. Presented Paper: “</w:t>
      </w:r>
      <w:r>
        <w:rPr>
          <w:rFonts w:ascii="Arial" w:hAnsi="Arial" w:cs="Arial"/>
          <w:sz w:val="18"/>
          <w:sz-cs w:val="18"/>
          <w:i/>
        </w:rPr>
        <w:t xml:space="preserve">The Hobbit and the Failure of the Ogres: For a Conception of Technology in a Mythological Perspective</w:t>
      </w:r>
      <w:r>
        <w:rPr>
          <w:rFonts w:ascii="Arial" w:hAnsi="Arial" w:cs="Arial"/>
          <w:sz w:val="18"/>
          <w:sz-cs w:val="18"/>
        </w:rPr>
        <w:t xml:space="preserve">”;   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>“10th International Conference of the Utopian Studies Society /Europe” University of Porto, (Portugal), July, 1-4, 2009. Presented Paper: “Truer than Reality. The Philosophical Concept of ‘Creating Fantasy’ in Tolkien and Lewis” (declined);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>“Religious Responses to Darwinism. Commemorating the 150</w:t>
      </w:r>
      <w:r>
        <w:rPr>
          <w:rFonts w:ascii="Arial" w:hAnsi="Arial" w:cs="Arial"/>
          <w:sz w:val="18"/>
          <w:sz-cs w:val="18"/>
          <w:vertAlign w:val="superscript"/>
        </w:rPr>
        <w:t xml:space="preserve">th</w:t>
      </w:r>
      <w:r>
        <w:rPr>
          <w:rFonts w:ascii="Arial" w:hAnsi="Arial" w:cs="Arial"/>
          <w:sz w:val="18"/>
          <w:sz-cs w:val="18"/>
        </w:rPr>
        <w:t xml:space="preserve"> Anniversary of   Darwin’s Origin of Species”, St. Anne College, University of Oxford (England), July 15-18, 2009. Presented paper: </w:t>
      </w:r>
      <w:r>
        <w:rPr>
          <w:rFonts w:ascii="Arial" w:hAnsi="Arial" w:cs="Arial"/>
          <w:sz w:val="18"/>
          <w:sz-cs w:val="18"/>
          <w:i/>
        </w:rPr>
        <w:t xml:space="preserve">“The Truth of the Mystery. The Fatal Absence of Medieval Culture in Darwin's Scientific Perspective”</w:t>
      </w:r>
      <w:r>
        <w:rPr>
          <w:rFonts w:ascii="Arial" w:hAnsi="Arial" w:cs="Arial"/>
          <w:sz w:val="18"/>
          <w:sz-cs w:val="18"/>
        </w:rPr>
        <w:t xml:space="preserve">; 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>“A Secular Age: Tracing the Contours of Religion and Belief”, Mater Dei Institut of Education, Dublin (Ireland), June 8-11, 2009. Presented paper: </w:t>
      </w:r>
      <w:r>
        <w:rPr>
          <w:rFonts w:ascii="Arial" w:hAnsi="Arial" w:cs="Arial"/>
          <w:sz w:val="18"/>
          <w:sz-cs w:val="18"/>
          <w:i/>
        </w:rPr>
        <w:t xml:space="preserve">“When Adam was Keeping in Touch with God. The Anthropological Roots of Secularization in European Modern-Age Culture as a Rejection of Renaissance Philosophical Conceptions”</w:t>
      </w:r>
      <w:r>
        <w:rPr>
          <w:rFonts w:ascii="Arial" w:hAnsi="Arial" w:cs="Arial"/>
          <w:sz w:val="18"/>
          <w:sz-cs w:val="18"/>
        </w:rPr>
        <w:t xml:space="preserve">;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>“Deus Ridens. The redemptive power of Humour in Religion”, UCSIA International Conference, University of Antwerp (Belgium), April 19-21, 2009. Presented paper: “</w:t>
      </w:r>
      <w:r>
        <w:rPr>
          <w:rFonts w:ascii="Arial" w:hAnsi="Arial" w:cs="Arial"/>
          <w:sz w:val="18"/>
          <w:sz-cs w:val="18"/>
          <w:i/>
        </w:rPr>
        <w:t xml:space="preserve">The Loud Laugh of Sarah. The Medieval Philosophical Roots of Humour in the Relationship between Human Being and God</w:t>
      </w:r>
      <w:r>
        <w:rPr>
          <w:rFonts w:ascii="Arial" w:hAnsi="Arial" w:cs="Arial"/>
          <w:sz w:val="18"/>
          <w:sz-cs w:val="18"/>
        </w:rPr>
        <w:t xml:space="preserve">” ;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>“55 Annual Meeting of Renaissance Society of America”, Los Angeles (USA), March, 19-21 2009. Presented Paper: “</w:t>
      </w:r>
      <w:r>
        <w:rPr>
          <w:rFonts w:ascii="Arial" w:hAnsi="Arial" w:cs="Arial"/>
          <w:sz w:val="18"/>
          <w:sz-cs w:val="18"/>
          <w:i/>
        </w:rPr>
        <w:t xml:space="preserve">Viewed Through the Looking-Glass: Human Nature as a Mystical Mirror in the Conception of ‘Sapientia’ of Charles de Bovelles</w:t>
      </w:r>
      <w:r>
        <w:rPr>
          <w:rFonts w:ascii="Arial" w:hAnsi="Arial" w:cs="Arial"/>
          <w:sz w:val="18"/>
          <w:sz-cs w:val="18"/>
        </w:rPr>
        <w:t xml:space="preserve">” ;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>“43 International Congress on Medieval Studies”, University of Western Michigan, Kalamazoo (USA), May 8-11, 2008. Presented paper: “</w:t>
      </w:r>
      <w:r>
        <w:rPr>
          <w:rFonts w:ascii="Arial" w:hAnsi="Arial" w:cs="Arial"/>
          <w:sz w:val="18"/>
          <w:sz-cs w:val="18"/>
          <w:i/>
        </w:rPr>
        <w:t xml:space="preserve">Drawing the Face of God. The Differences between Giordano Bruno and Charles de Bovelles As Seen in Three Bovillian Philosophical Figures</w:t>
      </w:r>
      <w:r>
        <w:rPr>
          <w:rFonts w:ascii="Arial" w:hAnsi="Arial" w:cs="Arial"/>
          <w:sz w:val="18"/>
          <w:sz-cs w:val="18"/>
        </w:rPr>
        <w:t xml:space="preserve">” ;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>“53 Annual Meeting of Renaissance Society of America”, Miami (USA), March, 22-24, 2007. Presented Paper: “</w:t>
      </w:r>
      <w:r>
        <w:rPr>
          <w:rFonts w:ascii="Arial" w:hAnsi="Arial" w:cs="Arial"/>
          <w:sz w:val="18"/>
          <w:sz-cs w:val="18"/>
          <w:i/>
        </w:rPr>
        <w:t xml:space="preserve">Cusanus and the European Art of Fifteenth Century</w:t>
      </w:r>
      <w:r>
        <w:rPr>
          <w:rFonts w:ascii="Arial" w:hAnsi="Arial" w:cs="Arial"/>
          <w:sz w:val="18"/>
          <w:sz-cs w:val="18"/>
        </w:rPr>
        <w:t xml:space="preserve">” ;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>“International Colloquiums of Cusanus Institut”, Institut für Cusanus Forschung, Trier (Germany), February 12, 2008. Presented paper: “</w:t>
      </w:r>
      <w:r>
        <w:rPr>
          <w:rFonts w:ascii="Arial" w:hAnsi="Arial" w:cs="Arial"/>
          <w:sz w:val="18"/>
          <w:sz-cs w:val="18"/>
          <w:i/>
        </w:rPr>
        <w:t xml:space="preserve">The Inconceivable Truth of the Cross. Nicholas of Cues’ concept of Faith</w:t>
      </w:r>
      <w:r>
        <w:rPr>
          <w:rFonts w:ascii="Arial" w:hAnsi="Arial" w:cs="Arial"/>
          <w:sz w:val="18"/>
          <w:sz-cs w:val="18"/>
        </w:rPr>
        <w:t xml:space="preserve">” ;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>“Philosophy Department Colloquiums”, University of Hawai’i at Manoa, Honolulu (USA), February, 10, 2006. Presented paper: “</w:t>
      </w:r>
      <w:r>
        <w:rPr>
          <w:rFonts w:ascii="Arial" w:hAnsi="Arial" w:cs="Arial"/>
          <w:sz w:val="18"/>
          <w:sz-cs w:val="18"/>
          <w:i/>
        </w:rPr>
        <w:t xml:space="preserve">Beyond the Scandal of Reason: Emptiness as the Basic Principle in Nagarjuna and Cusanus</w:t>
      </w:r>
      <w:r>
        <w:rPr>
          <w:rFonts w:ascii="Arial" w:hAnsi="Arial" w:cs="Arial"/>
          <w:sz w:val="18"/>
          <w:sz-cs w:val="18"/>
        </w:rPr>
        <w:t xml:space="preserve">”</w:t>
      </w:r>
      <w:r>
        <w:rPr>
          <w:rFonts w:ascii="Arial" w:hAnsi="Arial" w:cs="Arial"/>
          <w:sz w:val="18"/>
          <w:sz-cs w:val="18"/>
          <w:i/>
        </w:rPr>
        <w:t xml:space="preserve">.</w:t>
      </w:r>
    </w:p>
    <w:p>
      <w:pPr/>
      <w:r>
        <w:rPr>
          <w:rFonts w:ascii="Arial" w:hAnsi="Arial" w:cs="Arial"/>
          <w:sz w:val="18"/>
          <w:sz-cs w:val="18"/>
          <w:i/>
        </w:rPr>
        <w:t xml:space="preserve"/>
      </w:r>
    </w:p>
    <w:p>
      <w:pPr/>
      <w:r>
        <w:rPr>
          <w:rFonts w:ascii="Arial" w:hAnsi="Arial" w:cs="Arial"/>
          <w:sz w:val="18"/>
          <w:sz-cs w:val="18"/>
          <w:b/>
          <w:u w:val="single"/>
          <w:color w:val="000000"/>
        </w:rPr>
        <w:t xml:space="preserve">References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Prof. Tamara Albertini – Associate Professor (Renaissance Philosophy) University of Hawai’i at Manoa – Philosophy Department 2530 Dole Street Honolulu USA – </w:t>
      </w:r>
      <w:r>
        <w:rPr>
          <w:rFonts w:ascii="Arial" w:hAnsi="Arial" w:cs="Arial"/>
          <w:sz w:val="18"/>
          <w:sz-cs w:val="18"/>
          <w:u w:val="single"/>
          <w:color w:val="000000"/>
        </w:rPr>
        <w:t xml:space="preserve">tamaraa@hawaii.edu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Prof. Diego Poli – Full Professor, Director of Department (Linguistics) Università di Macerata – 63200 Piazza della libertà, Macerata Italy – poli-rild@unimc.it</w:t>
      </w:r>
    </w:p>
    <w:p>
      <w:pPr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Prof. Grazia Marchianò Zolla – Full Professor (Aesthetics )University of Siena – icolo Unione 14 – 53045 Montepulciano (SI), Italy - </w:t>
      </w:r>
      <w:r>
        <w:rPr>
          <w:rFonts w:ascii="Arial" w:hAnsi="Arial" w:cs="Arial"/>
          <w:sz w:val="18"/>
          <w:sz-cs w:val="18"/>
          <w:u w:val="single"/>
          <w:color w:val="000000"/>
        </w:rPr>
        <w:t xml:space="preserve">marchiano@marchiano.it</w:t>
      </w:r>
    </w:p>
    <w:p>
      <w:pPr>
        <w:spacing w:after="240"/>
      </w:pPr>
      <w:r>
        <w:rPr>
          <w:rFonts w:ascii="Arial" w:hAnsi="Arial" w:cs="Arial"/>
          <w:sz w:val="18"/>
          <w:sz-cs w:val="18"/>
          <w:u w:val="single"/>
          <w:color w:val="000000"/>
        </w:rPr>
        <w:t xml:space="preserve"/>
      </w:r>
    </w:p>
    <w:p>
      <w:pPr>
        <w:spacing w:after="240"/>
      </w:pPr>
      <w:r>
        <w:rPr>
          <w:rFonts w:ascii="Arial" w:hAnsi="Arial" w:cs="Arial"/>
          <w:sz w:val="18"/>
          <w:sz-cs w:val="18"/>
          <w:u w:val="single"/>
          <w:color w:val="000000"/>
        </w:rPr>
        <w:t xml:space="preserve"/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u w:val="single"/>
        </w:rPr>
        <w:t xml:space="preserve">List of publications</w:t>
      </w:r>
    </w:p>
    <w:p>
      <w:pPr>
        <w:jc w:val="both"/>
      </w:pPr>
      <w:r>
        <w:rPr>
          <w:rFonts w:ascii="Times" w:hAnsi="Times" w:cs="Times"/>
          <w:sz w:val="24"/>
          <w:sz-cs w:val="24"/>
          <w:b/>
          <w:u w:val="single"/>
        </w:rPr>
        <w:t xml:space="preserve"/>
      </w:r>
    </w:p>
    <w:p>
      <w:pPr>
        <w:jc w:val="both"/>
      </w:pPr>
      <w:r>
        <w:rPr>
          <w:rFonts w:ascii="Arial" w:hAnsi="Arial" w:cs="Arial"/>
          <w:sz w:val="18"/>
          <w:sz-cs w:val="18"/>
          <w:u w:val="single"/>
          <w:color w:val="000000"/>
        </w:rPr>
        <w:t xml:space="preserve">Authored Books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La Croce e l’Inconcepibile. Il pensiero di Nicola Cusano tra filosofia e predicazione, EUM, Macerata, 2008.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Filosofia del Fantastico. Escursione tra i Monti Sibillini, l’Irlanda e la Terra di Mezzo, Il Cerchio, Rimini, 2012.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La passeggiata impossibile. Martin Heidegger e Paul Celan tra il niente e la poesia, Aracne, Roma, 2012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Un’intima estraneità. Il Neoplatonismo come via mistica in Marsilio Ficino, Nicola Cusano, Charles de Bovelles (forthcoming)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</w:r>
    </w:p>
    <w:p>
      <w:pPr>
        <w:jc w:val="both"/>
      </w:pPr>
      <w:r>
        <w:rPr>
          <w:rFonts w:ascii="Arial" w:hAnsi="Arial" w:cs="Arial"/>
          <w:sz w:val="18"/>
          <w:sz-cs w:val="18"/>
          <w:u w:val="single"/>
          <w:color w:val="000000"/>
        </w:rPr>
        <w:t xml:space="preserve">Edited and Translated Books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Nicola Cusano, 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Sermoni scelti</w:t>
      </w:r>
      <w:r>
        <w:rPr>
          <w:rFonts w:ascii="Arial" w:hAnsi="Arial" w:cs="Arial"/>
          <w:sz w:val="18"/>
          <w:sz-cs w:val="18"/>
          <w:color w:val="000000"/>
        </w:rPr>
        <w:t xml:space="preserve">, Il Melangolo, Genova, 2012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Gottfried Wilhelm von 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Leibniz, </w:t>
      </w:r>
      <w:r>
        <w:rPr>
          <w:rFonts w:ascii="Arial" w:hAnsi="Arial" w:cs="Arial"/>
          <w:sz w:val="18"/>
          <w:sz-cs w:val="18"/>
          <w:color w:val="000000"/>
        </w:rPr>
        <w:t xml:space="preserve">Consilium Aegyptiacum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 Il Cerchio, Rimini, 2011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AA. VV., 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A caccia dell’Infinito. L’Umano e il Divino nell’opera di Nicola Cusano</w:t>
      </w:r>
      <w:r>
        <w:rPr>
          <w:rFonts w:ascii="Arial" w:hAnsi="Arial" w:cs="Arial"/>
          <w:sz w:val="18"/>
          <w:sz-cs w:val="18"/>
          <w:color w:val="000000"/>
        </w:rPr>
        <w:t xml:space="preserve">, Aracne Editrice, Roma, 2010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Nicola Cusano, 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In difesa della Dotta Ignoranza</w:t>
      </w:r>
      <w:r>
        <w:rPr>
          <w:rFonts w:ascii="Arial" w:hAnsi="Arial" w:cs="Arial"/>
          <w:sz w:val="18"/>
          <w:sz-cs w:val="18"/>
          <w:color w:val="000000"/>
        </w:rPr>
        <w:t xml:space="preserve">, seguito da 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L’ignota conoscenza</w:t>
      </w:r>
      <w:r>
        <w:rPr>
          <w:rFonts w:ascii="Arial" w:hAnsi="Arial" w:cs="Arial"/>
          <w:sz w:val="18"/>
          <w:sz-cs w:val="18"/>
          <w:color w:val="000000"/>
        </w:rPr>
        <w:t xml:space="preserve">, di Johannes Wenck, Orthotes, Salerno (forthcoming)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H. D. Thoreau, 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Sulle mele selvatiche e altri saggi</w:t>
      </w:r>
      <w:r>
        <w:rPr>
          <w:rFonts w:ascii="Arial" w:hAnsi="Arial" w:cs="Arial"/>
          <w:sz w:val="18"/>
          <w:sz-cs w:val="18"/>
          <w:color w:val="000000"/>
        </w:rPr>
        <w:t xml:space="preserve"> (Il Melangolo, Genova, forthcoming)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Giuseppe Tucci, 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La pittura sacra del Tibet</w:t>
      </w:r>
      <w:r>
        <w:rPr>
          <w:rFonts w:ascii="Arial" w:hAnsi="Arial" w:cs="Arial"/>
          <w:sz w:val="18"/>
          <w:sz-cs w:val="18"/>
          <w:color w:val="000000"/>
        </w:rPr>
        <w:t xml:space="preserve">, Il Cerchio, Rimini, (forthcoming)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Silvia Magnavacca, 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Jorge Luis Borges e la filosofia del Medioevo</w:t>
      </w:r>
      <w:r>
        <w:rPr>
          <w:rFonts w:ascii="Arial" w:hAnsi="Arial" w:cs="Arial"/>
          <w:sz w:val="18"/>
          <w:sz-cs w:val="18"/>
          <w:color w:val="000000"/>
        </w:rPr>
        <w:t xml:space="preserve">, (Traduzione e nota introduttiva) Il Cerchio, Rimini (forthcoming)</w:t>
      </w:r>
    </w:p>
    <w:p>
      <w:pPr>
        <w:jc w:val="both"/>
      </w:pPr>
      <w:r>
        <w:rPr>
          <w:rFonts w:ascii="Arial" w:hAnsi="Arial" w:cs="Arial"/>
          <w:sz w:val="18"/>
          <w:sz-cs w:val="18"/>
          <w:color w:val="000000"/>
        </w:rPr>
        <w:t xml:space="preserve"/>
      </w:r>
    </w:p>
    <w:p>
      <w:pPr>
        <w:jc w:val="both"/>
      </w:pPr>
      <w:r>
        <w:rPr>
          <w:rFonts w:ascii="Arial" w:hAnsi="Arial" w:cs="Arial"/>
          <w:sz w:val="18"/>
          <w:sz-cs w:val="18"/>
          <w:u w:val="single"/>
          <w:color w:val="000000"/>
        </w:rPr>
        <w:t xml:space="preserve">Journal Articles and Book Chapters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i/>
          <w:color w:val="000000"/>
        </w:rPr>
        <w:t xml:space="preserve"/>
        <w:tab/>
        <w:t xml:space="preserve">•</w:t>
        <w:tab/>
        <w:t xml:space="preserve">Le pagine, le ore, le falene. Confessione e dissimulazione del Sé nel Diario e nei romanzi di Virginia Woolf, </w:t>
      </w:r>
      <w:r>
        <w:rPr>
          <w:rFonts w:ascii="Arial" w:hAnsi="Arial" w:cs="Arial"/>
          <w:sz w:val="18"/>
          <w:sz-cs w:val="18"/>
          <w:color w:val="000000"/>
        </w:rPr>
        <w:t xml:space="preserve">in "Lo Sguardo - RiviSta di Filosofia", n. 11, 2013 pp. 317-339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i/>
          <w:color w:val="000000"/>
        </w:rPr>
        <w:t xml:space="preserve"/>
        <w:tab/>
        <w:t xml:space="preserve">•</w:t>
        <w:tab/>
        <w:t xml:space="preserve">Giulietta come aporia. William Shakespeare e l'idea di Amore nel Platonismo del Rinascimento</w:t>
      </w:r>
      <w:r>
        <w:rPr>
          <w:rFonts w:ascii="Arial" w:hAnsi="Arial" w:cs="Arial"/>
          <w:sz w:val="18"/>
          <w:sz-cs w:val="18"/>
          <w:color w:val="000000"/>
        </w:rPr>
        <w:t xml:space="preserve">, in 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Proceedings of the ‘Shakespeare and His Contemporaries’ Graduate Conference 2009, 2010, 2011</w:t>
      </w:r>
      <w:r>
        <w:rPr>
          <w:rFonts w:ascii="Arial" w:hAnsi="Arial" w:cs="Arial"/>
          <w:sz w:val="18"/>
          <w:sz-cs w:val="18"/>
          <w:color w:val="000000"/>
        </w:rPr>
        <w:t xml:space="preserve">, edited by M. Roberts, pp. 55-64, The British Institute of Florence, Firenze, 2012.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“Before Ireland was made”. Il Nazionalismo Neoplatonico di William Butler Yeats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, in “Studi Interculturali”, 1 (2013), pp. 13-38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i/>
          <w:color w:val="000000"/>
        </w:rPr>
        <w:t xml:space="preserve"/>
        <w:tab/>
        <w:t xml:space="preserve">•</w:t>
        <w:tab/>
        <w:t xml:space="preserve">Eretico Potere Ieratico. Il </w:t>
      </w:r>
      <w:r>
        <w:rPr>
          <w:rFonts w:ascii="Arial" w:hAnsi="Arial" w:cs="Arial"/>
          <w:sz w:val="18"/>
          <w:sz-cs w:val="18"/>
          <w:color w:val="000000"/>
        </w:rPr>
        <w:t xml:space="preserve">Liber Augustalis 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di Federico II di Svevia e il </w:t>
      </w:r>
      <w:r>
        <w:rPr>
          <w:rFonts w:ascii="Arial" w:hAnsi="Arial" w:cs="Arial"/>
          <w:sz w:val="18"/>
          <w:sz-cs w:val="18"/>
          <w:color w:val="000000"/>
        </w:rPr>
        <w:t xml:space="preserve">Riccardo II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 di Shakespeare</w:t>
      </w:r>
      <w:r>
        <w:rPr>
          <w:rFonts w:ascii="Arial" w:hAnsi="Arial" w:cs="Arial"/>
          <w:sz w:val="18"/>
          <w:sz-cs w:val="18"/>
          <w:color w:val="000000"/>
        </w:rPr>
        <w:t xml:space="preserve">, in “Tabulae. Rivista del Centro Studi Federiciani”, XXIII (Dicembre 2012), pp. 137-158.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i/>
          <w:color w:val="000000"/>
        </w:rPr>
        <w:t xml:space="preserve"/>
        <w:tab/>
        <w:t xml:space="preserve">•</w:t>
        <w:tab/>
        <w:t xml:space="preserve">Una Santiago chiamata Mordor. L’idea di </w:t>
      </w:r>
      <w:r>
        <w:rPr>
          <w:rFonts w:ascii="Arial" w:hAnsi="Arial" w:cs="Arial"/>
          <w:sz w:val="18"/>
          <w:sz-cs w:val="18"/>
          <w:color w:val="000000"/>
        </w:rPr>
        <w:t xml:space="preserve">Homo Viator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 ne </w:t>
      </w:r>
      <w:r>
        <w:rPr>
          <w:rFonts w:ascii="Arial" w:hAnsi="Arial" w:cs="Arial"/>
          <w:sz w:val="18"/>
          <w:sz-cs w:val="18"/>
          <w:color w:val="000000"/>
        </w:rPr>
        <w:t xml:space="preserve">Il Signore degli Anelli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 di J. R.R. Tolkien</w:t>
      </w:r>
      <w:r>
        <w:rPr>
          <w:rFonts w:ascii="Arial" w:hAnsi="Arial" w:cs="Arial"/>
          <w:sz w:val="18"/>
          <w:sz-cs w:val="18"/>
          <w:color w:val="000000"/>
        </w:rPr>
        <w:t xml:space="preserve">, in “Compostella. Rivista del Centro Italiano di Studi Compostellani”, n. 34 (2012) pp. 32-41;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In pellegrinaggio verso il Sé. La 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Sapientia</w:t>
      </w:r>
      <w:r>
        <w:rPr>
          <w:rFonts w:ascii="Arial" w:hAnsi="Arial" w:cs="Arial"/>
          <w:sz w:val="18"/>
          <w:sz-cs w:val="18"/>
          <w:color w:val="000000"/>
        </w:rPr>
        <w:t xml:space="preserve"> come conoscenza interiore in Charles de Bovelles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, in </w:t>
      </w:r>
      <w:r>
        <w:rPr>
          <w:rFonts w:ascii="Arial" w:hAnsi="Arial" w:cs="Arial"/>
          <w:sz w:val="18"/>
          <w:sz-cs w:val="18"/>
          <w:color w:val="000000"/>
        </w:rPr>
        <w:t xml:space="preserve">"Lo Sguardo. Rivista di filosofia", N. 10 (2012) III, pp. 221-235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i/>
          <w:color w:val="000000"/>
        </w:rPr>
        <w:t xml:space="preserve"/>
        <w:tab/>
        <w:t xml:space="preserve">•</w:t>
        <w:tab/>
        <w:t xml:space="preserve">La Corona e il Fantastico. Origini filosofiche e risvolti della leggenda di Federico II come Anticristo</w:t>
      </w:r>
      <w:r>
        <w:rPr>
          <w:rFonts w:ascii="Arial" w:hAnsi="Arial" w:cs="Arial"/>
          <w:sz w:val="18"/>
          <w:sz-cs w:val="18"/>
          <w:color w:val="000000"/>
        </w:rPr>
        <w:t xml:space="preserve">, in “Tabulae. Rivista del Centro Studi Federiciani”, XXIII (Dicembre 2011), n. 45, pp. 159-188.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i/>
          <w:color w:val="000000"/>
        </w:rPr>
        <w:t xml:space="preserve"/>
        <w:tab/>
        <w:t xml:space="preserve">•</w:t>
        <w:tab/>
        <w:t xml:space="preserve">I preziosi limiti della Contea. Le Piccole Patrie nel Rinascimento Europeo e il rinascimento delle Piccole Patrie nell’Europa Unita</w:t>
      </w:r>
      <w:r>
        <w:rPr>
          <w:rFonts w:ascii="Arial" w:hAnsi="Arial" w:cs="Arial"/>
          <w:sz w:val="18"/>
          <w:sz-cs w:val="18"/>
          <w:color w:val="000000"/>
        </w:rPr>
        <w:t xml:space="preserve">, in A. Morganti (a cura di), 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Europa: il ritorno dei Piccoli Stati. Autonomie, Piccole Patrie, processi di solidarietà</w:t>
      </w:r>
      <w:r>
        <w:rPr>
          <w:rFonts w:ascii="Arial" w:hAnsi="Arial" w:cs="Arial"/>
          <w:sz w:val="18"/>
          <w:sz-cs w:val="18"/>
          <w:color w:val="000000"/>
        </w:rPr>
        <w:t xml:space="preserve">, Il Cerchio, Rimini, 2012, pp. 30-42;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i/>
          <w:color w:val="000000"/>
        </w:rPr>
        <w:t xml:space="preserve"/>
        <w:tab/>
        <w:t xml:space="preserve">•</w:t>
        <w:tab/>
        <w:t xml:space="preserve">Unio vs Unitas. Usando categorie platoniche per riflettere sulla pluralità dei popoli nell'Europa </w:t>
      </w:r>
      <w:r>
        <w:rPr>
          <w:rFonts w:ascii="Arial" w:hAnsi="Arial" w:cs="Arial"/>
          <w:sz w:val="18"/>
          <w:sz-cs w:val="18"/>
          <w:color w:val="000000"/>
        </w:rPr>
        <w:t xml:space="preserve">Unita, in A. Morganti (a cura di), 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“Credo quia absurdum. Credo nell'Europa e nella sua rinascita.”  Integrazione, sovranità e ruolo strategico dell'Europa Unita al tempo della crisi,</w:t>
      </w:r>
      <w:r>
        <w:rPr>
          <w:rFonts w:ascii="Arial" w:hAnsi="Arial" w:cs="Arial"/>
          <w:sz w:val="18"/>
          <w:sz-cs w:val="18"/>
          <w:color w:val="000000"/>
        </w:rPr>
        <w:t xml:space="preserve"> Il Cerchio, Rimini, 2013, pp.15-22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i/>
          <w:color w:val="000000"/>
        </w:rPr>
        <w:t xml:space="preserve"/>
        <w:tab/>
        <w:t xml:space="preserve">•</w:t>
        <w:tab/>
        <w:t xml:space="preserve">Viewed Through the Looking Glass: Human Nature as a Mystical Mirror in the Conception of “</w:t>
      </w:r>
      <w:r>
        <w:rPr>
          <w:rFonts w:ascii="Arial" w:hAnsi="Arial" w:cs="Arial"/>
          <w:sz w:val="18"/>
          <w:sz-cs w:val="18"/>
          <w:color w:val="000000"/>
        </w:rPr>
        <w:t xml:space="preserve">sapientia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” of Charles de Bovelles</w:t>
      </w:r>
      <w:r>
        <w:rPr>
          <w:rFonts w:ascii="Arial" w:hAnsi="Arial" w:cs="Arial"/>
          <w:sz w:val="18"/>
          <w:sz-cs w:val="18"/>
          <w:color w:val="000000"/>
        </w:rPr>
        <w:t xml:space="preserve">, “Intellectual History Review” (Special Issue Celebrating the 500</w:t>
      </w:r>
      <w:r>
        <w:rPr>
          <w:rFonts w:ascii="Arial" w:hAnsi="Arial" w:cs="Arial"/>
          <w:sz w:val="18"/>
          <w:sz-cs w:val="18"/>
          <w:vertAlign w:val="superscript"/>
          <w:color w:val="000000"/>
        </w:rPr>
        <w:t xml:space="preserve">th</w:t>
      </w:r>
      <w:r>
        <w:rPr>
          <w:rFonts w:ascii="Arial" w:hAnsi="Arial" w:cs="Arial"/>
          <w:sz w:val="18"/>
          <w:sz-cs w:val="18"/>
          <w:color w:val="000000"/>
        </w:rPr>
        <w:t xml:space="preserve"> anniversary of the writing of Bovelles’ Liber de Sapiente),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 </w:t>
      </w:r>
      <w:r>
        <w:rPr>
          <w:rFonts w:ascii="Arial" w:hAnsi="Arial" w:cs="Arial"/>
          <w:sz w:val="18"/>
          <w:sz-cs w:val="18"/>
          <w:color w:val="000000"/>
        </w:rPr>
        <w:t xml:space="preserve">vol. 21, 3, (2011), pp. 307-316;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i/>
          <w:color w:val="000000"/>
        </w:rPr>
        <w:t xml:space="preserve"/>
        <w:tab/>
        <w:t xml:space="preserve">•</w:t>
        <w:tab/>
        <w:t xml:space="preserve">Cusanus’ Revival of Eriugena as a Renaissance Redefinition of Christian Orthodoxy?</w:t>
      </w:r>
      <w:r>
        <w:rPr>
          <w:rFonts w:ascii="Arial" w:hAnsi="Arial" w:cs="Arial"/>
          <w:sz w:val="18"/>
          <w:sz-cs w:val="18"/>
          <w:color w:val="000000"/>
        </w:rPr>
        <w:t xml:space="preserve">, in A. Kijewska, R. Majeran, H. Schwaetzer (editors), 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Eriugena Cusanus</w:t>
      </w:r>
      <w:r>
        <w:rPr>
          <w:rFonts w:ascii="Arial" w:hAnsi="Arial" w:cs="Arial"/>
          <w:sz w:val="18"/>
          <w:sz-cs w:val="18"/>
          <w:color w:val="000000"/>
        </w:rPr>
        <w:t xml:space="preserve">, Lublin, 2011, pp. 59-72.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i/>
          <w:color w:val="000000"/>
        </w:rPr>
        <w:t xml:space="preserve"/>
        <w:tab/>
        <w:t xml:space="preserve">•</w:t>
        <w:tab/>
        <w:t xml:space="preserve">Die paradoxale Frage der Drei Weisen. Die Idee des </w:t>
      </w:r>
      <w:r>
        <w:rPr>
          <w:rFonts w:ascii="Arial" w:hAnsi="Arial" w:cs="Arial"/>
          <w:sz w:val="18"/>
          <w:sz-cs w:val="18"/>
          <w:color w:val="000000"/>
        </w:rPr>
        <w:t xml:space="preserve">Unum infinitum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 im Sermo CCXVI des Nikolaus von Kues</w:t>
      </w:r>
      <w:r>
        <w:rPr>
          <w:rFonts w:ascii="Arial" w:hAnsi="Arial" w:cs="Arial"/>
          <w:sz w:val="18"/>
          <w:sz-cs w:val="18"/>
          <w:color w:val="000000"/>
        </w:rPr>
        <w:t xml:space="preserve">, in “Coincidentia. Zeitschrift für europäische Geistesgeschichte“, 1/2 (2010), pp. pp. 319-328.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i/>
          <w:color w:val="000000"/>
        </w:rPr>
        <w:t xml:space="preserve"/>
        <w:tab/>
        <w:t xml:space="preserve">•</w:t>
        <w:tab/>
        <w:t xml:space="preserve">L’idea di “anima stellata” nel Quattrocento fiorentino. Andrea da Barberino e la teoria psico-astrologica in Marsilio Ficino</w:t>
      </w:r>
      <w:r>
        <w:rPr>
          <w:rFonts w:ascii="Arial" w:hAnsi="Arial" w:cs="Arial"/>
          <w:sz w:val="18"/>
          <w:sz-cs w:val="18"/>
          <w:color w:val="000000"/>
        </w:rPr>
        <w:t xml:space="preserve">, in “Bruniana 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&amp; </w:t>
      </w:r>
      <w:r>
        <w:rPr>
          <w:rFonts w:ascii="Arial" w:hAnsi="Arial" w:cs="Arial"/>
          <w:sz w:val="18"/>
          <w:sz-cs w:val="18"/>
          <w:color w:val="000000"/>
        </w:rPr>
        <w:t xml:space="preserve">Campanelliana”, XVI, 2 (2010), pp. 629-639.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i/>
          <w:color w:val="000000"/>
        </w:rPr>
        <w:t xml:space="preserve"/>
        <w:tab/>
        <w:t xml:space="preserve">•</w:t>
        <w:tab/>
        <w:t xml:space="preserve">Nicola Cusano e una tradizione neoplatonica </w:t>
      </w:r>
      <w:r>
        <w:rPr>
          <w:rFonts w:ascii="Arial" w:hAnsi="Arial" w:cs="Arial"/>
          <w:sz w:val="18"/>
          <w:sz-cs w:val="18"/>
          <w:color w:val="000000"/>
        </w:rPr>
        <w:t xml:space="preserve">abscondita, in C. Catà (editor), 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A caccia dell’infinito. L’Umano e la ricerca del Divino nell’opera di Nicola Cusano</w:t>
      </w:r>
      <w:r>
        <w:rPr>
          <w:rFonts w:ascii="Arial" w:hAnsi="Arial" w:cs="Arial"/>
          <w:sz w:val="18"/>
          <w:sz-cs w:val="18"/>
          <w:color w:val="000000"/>
        </w:rPr>
        <w:t xml:space="preserve">, Aracne Editrice, Roma 2010, pp. 213-252.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i/>
          <w:color w:val="000000"/>
        </w:rPr>
        <w:t xml:space="preserve"/>
        <w:tab/>
        <w:t xml:space="preserve">•</w:t>
        <w:tab/>
        <w:t xml:space="preserve">Il Cardinale e l’Eretico. Il problema della eredità “eterodossa” di Meister Eckhart nel pensiero di Nicola Cusano</w:t>
      </w:r>
      <w:r>
        <w:rPr>
          <w:rFonts w:ascii="Arial" w:hAnsi="Arial" w:cs="Arial"/>
          <w:sz w:val="18"/>
          <w:sz-cs w:val="18"/>
          <w:color w:val="000000"/>
        </w:rPr>
        <w:t xml:space="preserve">, in “Viator. Medieval and Renaissance Studies”, UCLA University, Volume 41, No. 2 (2010), pp. 269-291.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i/>
          <w:color w:val="000000"/>
        </w:rPr>
        <w:t xml:space="preserve"/>
        <w:tab/>
        <w:t xml:space="preserve">•</w:t>
        <w:tab/>
        <w:t xml:space="preserve">Il Potere come ultimo Arcano. Tangenze tra il pensiero di Nicola Cusano e Elèmire Zolla</w:t>
      </w:r>
      <w:r>
        <w:rPr>
          <w:rFonts w:ascii="Arial" w:hAnsi="Arial" w:cs="Arial"/>
          <w:sz w:val="18"/>
          <w:sz-cs w:val="18"/>
          <w:color w:val="000000"/>
        </w:rPr>
        <w:t xml:space="preserve">, in “Conoscenza Religiosa”, 1 (2010), pp. 26-43.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i/>
          <w:color w:val="000000"/>
        </w:rPr>
        <w:t xml:space="preserve"/>
        <w:tab/>
        <w:t xml:space="preserve">•</w:t>
        <w:tab/>
        <w:t xml:space="preserve">Forking Paths in Sixteenth Century Philosophy. Charles de Bovelles and Giordano Bruno</w:t>
      </w:r>
      <w:r>
        <w:rPr>
          <w:rFonts w:ascii="Arial" w:hAnsi="Arial" w:cs="Arial"/>
          <w:sz w:val="18"/>
          <w:sz-cs w:val="18"/>
          <w:color w:val="000000"/>
        </w:rPr>
        <w:t xml:space="preserve">, in “Viator. Medieval and Renaissance Studies”, UCLA University, Volume 40, No. 2 (2009), pp. 381-392.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i/>
          <w:color w:val="000000"/>
        </w:rPr>
        <w:t xml:space="preserve"/>
        <w:tab/>
        <w:t xml:space="preserve">•</w:t>
        <w:tab/>
        <w:t xml:space="preserve">Un Rinascimento tra Petrarca e passione. Il Neoplatonismo “corporeo” della poesia di Veronica Franco</w:t>
      </w:r>
      <w:r>
        <w:rPr>
          <w:rFonts w:ascii="Arial" w:hAnsi="Arial" w:cs="Arial"/>
          <w:sz w:val="18"/>
          <w:sz-cs w:val="18"/>
          <w:color w:val="000000"/>
        </w:rPr>
        <w:t xml:space="preserve">, in “La Parola del testo. Semestrale di filologia e letteratura europea dalle origini al Rinascimento”, No. 2 (2009), pp. 357-373.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i/>
          <w:color w:val="000000"/>
        </w:rPr>
        <w:t xml:space="preserve"/>
        <w:tab/>
        <w:t xml:space="preserve">•</w:t>
        <w:tab/>
        <w:t xml:space="preserve">Il</w:t>
      </w:r>
      <w:r>
        <w:rPr>
          <w:rFonts w:ascii="Arial" w:hAnsi="Arial" w:cs="Arial"/>
          <w:sz w:val="18"/>
          <w:sz-cs w:val="18"/>
          <w:color w:val="000000"/>
        </w:rPr>
        <w:t xml:space="preserve"> lapsus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 della critica italiana novecentesca: il caso letterario “Amelia Rosselli”, </w:t>
      </w:r>
      <w:r>
        <w:rPr>
          <w:rFonts w:ascii="Arial" w:hAnsi="Arial" w:cs="Arial"/>
          <w:sz w:val="18"/>
          <w:sz-cs w:val="18"/>
          <w:color w:val="000000"/>
        </w:rPr>
        <w:t xml:space="preserve">in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 “</w:t>
      </w:r>
      <w:r>
        <w:rPr>
          <w:rFonts w:ascii="Arial" w:hAnsi="Arial" w:cs="Arial"/>
          <w:sz w:val="18"/>
          <w:sz-cs w:val="18"/>
          <w:color w:val="000000"/>
        </w:rPr>
        <w:t xml:space="preserve">Italianistica. Rivista di letteratura italiana”, XXXVIII, 1 (2009), pp. 149-174. </w:t>
      </w:r>
    </w:p>
    <w:p>
      <w:pPr>
        <w:ind w:left="720"/>
      </w:pPr>
      <w:r>
        <w:rPr>
          <w:rFonts w:ascii="Arial" w:hAnsi="Arial" w:cs="Arial"/>
          <w:sz w:val="18"/>
          <w:sz-cs w:val="18"/>
          <w:i/>
          <w:color w:val="000000"/>
        </w:rPr>
        <w:t xml:space="preserve"/>
        <w:tab/>
        <w:t xml:space="preserve">•</w:t>
        <w:tab/>
        <w:t xml:space="preserve">Con l’alloro sotto il saio. Ipotesi su Fra Pacifico, Re dei Versi</w:t>
      </w:r>
      <w:r>
        <w:rPr>
          <w:rFonts w:ascii="Arial" w:hAnsi="Arial" w:cs="Arial"/>
          <w:sz w:val="18"/>
          <w:sz-cs w:val="18"/>
          <w:color w:val="000000"/>
        </w:rPr>
        <w:t xml:space="preserve">, in “Picenum Seraphicum. Rivista di studi storici e francescani”, n. XXV (2006-2008), pp. 355-395. 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i/>
          <w:color w:val="000000"/>
        </w:rPr>
        <w:t xml:space="preserve"/>
        <w:tab/>
        <w:t xml:space="preserve">•</w:t>
        <w:tab/>
        <w:t xml:space="preserve">Il Rinascimento sulla via di Damasco. Il ruolo della teologia di San Paolo in Marsilio Ficino e Nicola Cusano</w:t>
      </w:r>
      <w:r>
        <w:rPr>
          <w:rFonts w:ascii="Arial" w:hAnsi="Arial" w:cs="Arial"/>
          <w:sz w:val="18"/>
          <w:sz-cs w:val="18"/>
          <w:color w:val="000000"/>
        </w:rPr>
        <w:t xml:space="preserve">,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 </w:t>
      </w:r>
      <w:r>
        <w:rPr>
          <w:rFonts w:ascii="Arial" w:hAnsi="Arial" w:cs="Arial"/>
          <w:sz w:val="18"/>
          <w:sz-cs w:val="18"/>
          <w:color w:val="000000"/>
        </w:rPr>
        <w:t xml:space="preserve">in “Bruniana &amp; Campanelliana”, XIV (2008), No. 2 , pp. 523-534.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i/>
          <w:color w:val="000000"/>
        </w:rPr>
        <w:t xml:space="preserve"/>
        <w:tab/>
        <w:t xml:space="preserve">•</w:t>
        <w:tab/>
        <w:t xml:space="preserve">Il Cavaliere cristiano medievale e il Samurai nipponico. Per una proposta di approccio interculturale come philosophia actualis</w:t>
      </w:r>
      <w:r>
        <w:rPr>
          <w:rFonts w:ascii="Arial" w:hAnsi="Arial" w:cs="Arial"/>
          <w:sz w:val="18"/>
          <w:sz-cs w:val="18"/>
          <w:color w:val="000000"/>
        </w:rPr>
        <w:t xml:space="preserve">, in M. Ghilardi (a cura di), Vie per un'estetica interculturale, Mimesis, Milano 2008, pp. 43-86. 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color w:val="000000"/>
        </w:rPr>
        <w:t xml:space="preserve"/>
        <w:tab/>
        <w:t xml:space="preserve">•</w:t>
        <w:tab/>
        <w:t xml:space="preserve">Perspicere Deum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: Nicholas of Cusa and European Art of the Fifteenth Century</w:t>
      </w:r>
      <w:r>
        <w:rPr>
          <w:rFonts w:ascii="Arial" w:hAnsi="Arial" w:cs="Arial"/>
          <w:sz w:val="18"/>
          <w:sz-cs w:val="18"/>
          <w:color w:val="000000"/>
        </w:rPr>
        <w:t xml:space="preserve">, in “Viator. Medieval and Renaissance Studies”, UCLA University, Volume 39, No.1 (2008), pp. 285-305.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i/>
          <w:color w:val="000000"/>
        </w:rPr>
        <w:t xml:space="preserve"/>
        <w:tab/>
        <w:t xml:space="preserve">•</w:t>
        <w:tab/>
        <w:t xml:space="preserve">L’Umanesimo Europeo e l’Umanismo della Modernità. Per uno sguardo “diverso” sul Post-Moderno</w:t>
      </w:r>
      <w:r>
        <w:rPr>
          <w:rFonts w:ascii="Arial" w:hAnsi="Arial" w:cs="Arial"/>
          <w:sz w:val="18"/>
          <w:sz-cs w:val="18"/>
          <w:color w:val="000000"/>
        </w:rPr>
        <w:t xml:space="preserve">, in “Il Nodo. Rivista di Storia della Pedagogia”, XXXIII, 2 (2008), pp. 45-52.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i/>
          <w:color w:val="000000"/>
        </w:rPr>
        <w:t xml:space="preserve"/>
        <w:tab/>
        <w:t xml:space="preserve">•</w:t>
        <w:tab/>
        <w:t xml:space="preserve">Su di una stessa barca: Nicola Cusano e Giorgio Gemisto Pletone</w:t>
      </w:r>
      <w:r>
        <w:rPr>
          <w:rFonts w:ascii="Arial" w:hAnsi="Arial" w:cs="Arial"/>
          <w:sz w:val="18"/>
          <w:sz-cs w:val="18"/>
          <w:color w:val="000000"/>
        </w:rPr>
        <w:t xml:space="preserve">, in “Bruniana &amp; Campanelliana”, XII (2007), No. 1, pp. 43-56.</w:t>
      </w:r>
    </w:p>
    <w:p>
      <w:pPr>
        <w:jc w:val="both"/>
        <w:ind w:left="720"/>
      </w:pPr>
      <w:r>
        <w:rPr>
          <w:rFonts w:ascii="Arial" w:hAnsi="Arial" w:cs="Arial"/>
          <w:sz w:val="18"/>
          <w:sz-cs w:val="18"/>
          <w:i/>
          <w:color w:val="000000"/>
        </w:rPr>
        <w:t xml:space="preserve"/>
        <w:tab/>
        <w:t xml:space="preserve">•</w:t>
        <w:tab/>
        <w:t xml:space="preserve">Da radici inabbandonabili. Leo Strauss e la Rivoluzione Conservatrice</w:t>
      </w:r>
      <w:r>
        <w:rPr>
          <w:rFonts w:ascii="Arial" w:hAnsi="Arial" w:cs="Arial"/>
          <w:sz w:val="18"/>
          <w:sz-cs w:val="18"/>
          <w:color w:val="000000"/>
        </w:rPr>
        <w:t xml:space="preserve">,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 </w:t>
      </w:r>
      <w:r>
        <w:rPr>
          <w:rFonts w:ascii="Arial" w:hAnsi="Arial" w:cs="Arial"/>
          <w:sz w:val="18"/>
          <w:sz-cs w:val="18"/>
          <w:color w:val="000000"/>
        </w:rPr>
        <w:t xml:space="preserve">in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 </w:t>
      </w:r>
      <w:r>
        <w:rPr>
          <w:rFonts w:ascii="Arial" w:hAnsi="Arial" w:cs="Arial"/>
          <w:sz w:val="18"/>
          <w:sz-cs w:val="18"/>
          <w:color w:val="000000"/>
        </w:rPr>
        <w:t xml:space="preserve">F. Cardini, C. Catà, C. Finzi, D. Losurdo, M. Montesano, C. Preve, 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Neocons. L’ideologia conservatrice e le sfide della storia</w:t>
      </w:r>
      <w:r>
        <w:rPr>
          <w:rFonts w:ascii="Arial" w:hAnsi="Arial" w:cs="Arial"/>
          <w:sz w:val="18"/>
          <w:sz-cs w:val="18"/>
          <w:color w:val="000000"/>
        </w:rPr>
        <w:t xml:space="preserve">, Rimini 2007, pp. 43-71.</w:t>
      </w:r>
      <w:r>
        <w:rPr>
          <w:rFonts w:ascii="Arial" w:hAnsi="Arial" w:cs="Arial"/>
          <w:sz w:val="18"/>
          <w:sz-cs w:val="18"/>
          <w:i/>
          <w:color w:val="000000"/>
        </w:rPr>
        <w:t xml:space="preserve"> </w:t>
      </w:r>
      <w:r>
        <w:rPr>
          <w:rFonts w:ascii="Arial" w:hAnsi="Arial" w:cs="Arial"/>
          <w:sz w:val="18"/>
          <w:sz-cs w:val="18"/>
          <w:color w:val="000000"/>
        </w:rPr>
        <w:t xml:space="preserve"> </w:t>
      </w:r>
    </w:p>
    <w:p>
      <w:pPr>
        <w:spacing w:after="240"/>
      </w:pPr>
      <w:r>
        <w:rPr>
          <w:rFonts w:ascii="Arial" w:hAnsi="Arial" w:cs="Arial"/>
          <w:sz w:val="18"/>
          <w:sz-cs w:val="18"/>
          <w:color w:val="000000"/>
        </w:rPr>
        <w:t xml:space="preserve"/>
      </w:r>
    </w:p>
    <w:p>
      <w:pPr>
        <w:spacing w:after="240"/>
      </w:pPr>
      <w:r>
        <w:rPr>
          <w:rFonts w:ascii="Arial" w:hAnsi="Arial" w:cs="Arial"/>
          <w:sz w:val="18"/>
          <w:sz-cs w:val="18"/>
          <w:color w:val="000000"/>
        </w:rPr>
        <w:t xml:space="preserve"/>
      </w:r>
    </w:p>
    <w:p>
      <w:pPr/>
      <w:r>
        <w:rPr>
          <w:rFonts w:ascii="Arial" w:hAnsi="Arial" w:cs="Arial"/>
          <w:sz w:val="18"/>
          <w:sz-cs w:val="18"/>
          <w:color w:val="000000"/>
        </w:rPr>
        <w:t xml:space="preserve"/>
      </w:r>
    </w:p>
    <w:sectPr>
      <w:pgSz w:w="11900" w:h="16840"/>
      <w:pgMar w:top="1417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</cp:coreProperties>
</file>

<file path=docProps/meta.xml><?xml version="1.0" encoding="utf-8"?>
<meta xmlns="http://schemas.apple.com/cocoa/2006/metadata">
  <generator>CocoaOOXMLWriter/1187.4</generator>
</meta>
</file>