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4B36" w:rsidRPr="00C74B36" w:rsidRDefault="00C74B36" w:rsidP="00C74B36">
      <w:pPr>
        <w:pStyle w:val="NormaleWeb"/>
        <w:rPr>
          <w:b/>
          <w:bCs/>
          <w:color w:val="990000"/>
          <w:lang w:val="en-US"/>
        </w:rPr>
      </w:pPr>
      <w:r w:rsidRPr="00C74B36">
        <w:rPr>
          <w:b/>
          <w:bCs/>
          <w:color w:val="990000"/>
          <w:lang w:val="en-US"/>
        </w:rPr>
        <w:t>Pubblicazioni</w:t>
      </w:r>
    </w:p>
    <w:p w:rsidR="00C74B36" w:rsidRDefault="00C74B36" w:rsidP="00C74B36">
      <w:pPr>
        <w:pStyle w:val="NormaleWeb"/>
        <w:rPr>
          <w:lang w:val="en-GB"/>
        </w:rPr>
      </w:pPr>
      <w:r>
        <w:rPr>
          <w:lang w:val="en-GB"/>
        </w:rPr>
        <w:t>“</w:t>
      </w:r>
      <w:r>
        <w:rPr>
          <w:i/>
          <w:lang w:val="en-GB"/>
        </w:rPr>
        <w:t xml:space="preserve">Republic of China v </w:t>
      </w:r>
      <w:proofErr w:type="spellStart"/>
      <w:r>
        <w:rPr>
          <w:i/>
          <w:lang w:val="en-GB"/>
        </w:rPr>
        <w:t>Immobiliare</w:t>
      </w:r>
      <w:proofErr w:type="spellEnd"/>
      <w:r>
        <w:rPr>
          <w:i/>
          <w:lang w:val="en-GB"/>
        </w:rPr>
        <w:t xml:space="preserve"> Villa </w:t>
      </w:r>
      <w:proofErr w:type="spellStart"/>
      <w:r>
        <w:rPr>
          <w:i/>
          <w:lang w:val="en-GB"/>
        </w:rPr>
        <w:t>ai</w:t>
      </w:r>
      <w:proofErr w:type="spellEnd"/>
      <w:r>
        <w:rPr>
          <w:i/>
          <w:lang w:val="en-GB"/>
        </w:rPr>
        <w:t xml:space="preserve"> </w:t>
      </w:r>
      <w:proofErr w:type="spellStart"/>
      <w:r>
        <w:rPr>
          <w:i/>
          <w:lang w:val="en-GB"/>
        </w:rPr>
        <w:t>Pini</w:t>
      </w:r>
      <w:proofErr w:type="spellEnd"/>
      <w:r>
        <w:rPr>
          <w:i/>
          <w:lang w:val="en-GB"/>
        </w:rPr>
        <w:t xml:space="preserve"> </w:t>
      </w:r>
      <w:proofErr w:type="spellStart"/>
      <w:r>
        <w:rPr>
          <w:i/>
          <w:lang w:val="en-GB"/>
        </w:rPr>
        <w:t>s.r.l</w:t>
      </w:r>
      <w:proofErr w:type="spellEnd"/>
      <w:r>
        <w:rPr>
          <w:i/>
          <w:lang w:val="en-GB"/>
        </w:rPr>
        <w:t>. and</w:t>
      </w:r>
      <w:r>
        <w:rPr>
          <w:i/>
          <w:u w:val="single"/>
          <w:lang w:val="en-GB"/>
        </w:rPr>
        <w:t xml:space="preserve"> </w:t>
      </w:r>
      <w:r>
        <w:rPr>
          <w:i/>
          <w:lang w:val="en-GB"/>
        </w:rPr>
        <w:t>Italian Ministry of Foreign Affairs</w:t>
      </w:r>
      <w:r>
        <w:rPr>
          <w:lang w:val="en-GB"/>
        </w:rPr>
        <w:t xml:space="preserve">” (Court of Cassation, All Civil Sections, Judgment of 17 July 2008, No. 19600), in </w:t>
      </w:r>
      <w:r>
        <w:rPr>
          <w:i/>
          <w:iCs/>
          <w:lang w:val="en-GB"/>
        </w:rPr>
        <w:t>Oxford Reports on International Law in Domestic Courts</w:t>
      </w:r>
      <w:r>
        <w:rPr>
          <w:lang w:val="en-GB"/>
        </w:rPr>
        <w:t>, 2009 (http://ildc.oxfordlawreports.com).</w:t>
      </w:r>
    </w:p>
    <w:p w:rsidR="00C74B36" w:rsidRDefault="00C74B36" w:rsidP="00C74B36">
      <w:pPr>
        <w:pStyle w:val="NormaleWeb"/>
        <w:jc w:val="both"/>
      </w:pPr>
      <w:r>
        <w:t xml:space="preserve">L’esecuzione della sentenza Avena in due recenti decisioni della Corte internazionale di giustizia e della Corte suprema degli Stati Uniti, in </w:t>
      </w:r>
      <w:r>
        <w:rPr>
          <w:i/>
        </w:rPr>
        <w:t>Diritti umani e diritto internazionale</w:t>
      </w:r>
      <w:r>
        <w:t>, vol. 1, 2009 (in corso di pubblicazione).</w:t>
      </w:r>
    </w:p>
    <w:p w:rsidR="00C74B36" w:rsidRDefault="00C74B36" w:rsidP="00C74B36">
      <w:pPr>
        <w:pStyle w:val="NormaleWeb"/>
      </w:pPr>
      <w:r>
        <w:t xml:space="preserve">Sull’ambito di applicazione </w:t>
      </w:r>
      <w:proofErr w:type="spellStart"/>
      <w:r>
        <w:rPr>
          <w:i/>
        </w:rPr>
        <w:t>ratione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temporis</w:t>
      </w:r>
      <w:proofErr w:type="spellEnd"/>
      <w:r>
        <w:t xml:space="preserve"> del vizio di violenza nei trattati, in </w:t>
      </w:r>
      <w:r>
        <w:rPr>
          <w:i/>
        </w:rPr>
        <w:t>Rivista di Diritto internazionale</w:t>
      </w:r>
      <w:r>
        <w:t xml:space="preserve">, vol. 3, 2008, p. 806 ss. </w:t>
      </w:r>
    </w:p>
    <w:p w:rsidR="00C74B36" w:rsidRDefault="00C74B36" w:rsidP="00C74B36">
      <w:pPr>
        <w:pStyle w:val="NormaleWeb"/>
        <w:jc w:val="both"/>
      </w:pPr>
      <w:r>
        <w:rPr>
          <w:i/>
          <w:iCs/>
        </w:rPr>
        <w:t>Il valore della prassi applicativa degli Stati nel diritto dei trattati</w:t>
      </w:r>
      <w:r>
        <w:t>, Macerata, 2008 (</w:t>
      </w:r>
      <w:r>
        <w:rPr>
          <w:i/>
          <w:iCs/>
        </w:rPr>
        <w:t>Tesi di dottorato</w:t>
      </w:r>
      <w:r>
        <w:t>).</w:t>
      </w:r>
    </w:p>
    <w:p w:rsidR="00C74B36" w:rsidRDefault="00C74B36" w:rsidP="00C74B36">
      <w:pPr>
        <w:pStyle w:val="NormaleWeb"/>
      </w:pPr>
      <w:r>
        <w:t>Le ‘</w:t>
      </w:r>
      <w:proofErr w:type="spellStart"/>
      <w:r>
        <w:rPr>
          <w:i/>
          <w:iCs/>
        </w:rPr>
        <w:t>human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rights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clauses</w:t>
      </w:r>
      <w:proofErr w:type="spellEnd"/>
      <w:r>
        <w:t>’ nell’adozione di sanzioni comunitarie, in "</w:t>
      </w:r>
      <w:r>
        <w:rPr>
          <w:i/>
        </w:rPr>
        <w:t>Diritto dell'Unione Europea</w:t>
      </w:r>
      <w:r>
        <w:t>", vol. 2, 2005, p. 337 ss.</w:t>
      </w:r>
    </w:p>
    <w:p w:rsidR="00C9169C" w:rsidRDefault="00C9169C"/>
    <w:sectPr w:rsidR="00C9169C" w:rsidSect="00C9169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/>
  <w:defaultTabStop w:val="708"/>
  <w:hyphenationZone w:val="283"/>
  <w:characterSpacingControl w:val="doNotCompress"/>
  <w:compat/>
  <w:rsids>
    <w:rsidRoot w:val="00C74B36"/>
    <w:rsid w:val="00C74B36"/>
    <w:rsid w:val="00C916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9169C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semiHidden/>
    <w:unhideWhenUsed/>
    <w:rsid w:val="00C74B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217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759</Characters>
  <Application>Microsoft Office Word</Application>
  <DocSecurity>0</DocSecurity>
  <Lines>6</Lines>
  <Paragraphs>1</Paragraphs>
  <ScaleCrop>false</ScaleCrop>
  <Company/>
  <LinksUpToDate>false</LinksUpToDate>
  <CharactersWithSpaces>891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Amministratore</dc:creator>
  <cp:keywords/>
  <dc:description/>
  <cp:lastModifiedBy>Amministratore</cp:lastModifiedBy>
  <cp:revision>1</cp:revision>
  <dcterms:created xsi:type="dcterms:W3CDTF">2010-10-27T08:28:00Z</dcterms:created>
  <dcterms:modified xsi:type="dcterms:W3CDTF">2010-10-27T08:28:00Z</dcterms:modified>
</cp:coreProperties>
</file>