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534A" w:rsidRPr="00AB07D2" w:rsidRDefault="00B7534A" w:rsidP="00B7534A">
      <w:pPr>
        <w:autoSpaceDE w:val="0"/>
        <w:autoSpaceDN w:val="0"/>
        <w:adjustRightInd w:val="0"/>
        <w:spacing w:after="0" w:line="240" w:lineRule="auto"/>
        <w:jc w:val="both"/>
        <w:rPr>
          <w:rFonts w:ascii="AgeInTextSemiBold" w:hAnsi="AgeInTextSemiBold" w:cs="AgeInTextSemiBold"/>
          <w:b/>
          <w:bCs/>
          <w:sz w:val="24"/>
          <w:szCs w:val="24"/>
        </w:rPr>
      </w:pPr>
      <w:r w:rsidRPr="00AB07D2">
        <w:rPr>
          <w:rFonts w:ascii="AgeInTextSemiBold" w:hAnsi="AgeInTextSemiBold" w:cs="AgeInTextSemiBold"/>
          <w:b/>
          <w:bCs/>
          <w:sz w:val="24"/>
          <w:szCs w:val="24"/>
        </w:rPr>
        <w:t xml:space="preserve">I numeri indici sintetici dei prezzi </w:t>
      </w:r>
    </w:p>
    <w:p w:rsidR="00B7534A" w:rsidRPr="00AB07D2" w:rsidRDefault="00B7534A" w:rsidP="00B7534A">
      <w:pPr>
        <w:autoSpaceDE w:val="0"/>
        <w:autoSpaceDN w:val="0"/>
        <w:adjustRightInd w:val="0"/>
        <w:spacing w:after="0" w:line="240" w:lineRule="auto"/>
        <w:jc w:val="both"/>
        <w:rPr>
          <w:rFonts w:ascii="AgeInTextSemiBold" w:hAnsi="AgeInTextSemiBold" w:cs="AgeInTextSemiBold"/>
          <w:b/>
          <w:bCs/>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Ottenuta la serie dei numeri indici elementari relativi, ad esempio, ai prezzi di ciascun bene e servizio del paniere dei beni e servizi considerati per la collettività di riferimento, occorre</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sintetizzarli in un unico valore o numero indice complesso.</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 xml:space="preserve">Si è già detto come l’impiego di medie semplici sia sconsigliabile mentre adeguate risultano le medie ponderate (aritmetica, geometrica ecc.) per la sintesi di più indici. Si pone, quindi, il problema della scelta del sistema di pesi ossia dei coefficienti di ponderazione </w:t>
      </w:r>
      <w:r w:rsidRPr="00AB07D2">
        <w:rPr>
          <w:rFonts w:ascii="AGaramondAge-Semibold" w:hAnsi="AGaramondAge-Semibold" w:cs="AGaramondAge-Semibold"/>
          <w:sz w:val="24"/>
          <w:szCs w:val="24"/>
        </w:rPr>
        <w:t xml:space="preserve">per l’insieme </w:t>
      </w:r>
      <w:r w:rsidRPr="00AB07D2">
        <w:rPr>
          <w:rFonts w:ascii="VangRoman" w:hAnsi="VangRoman" w:cs="VangRoman"/>
          <w:sz w:val="24"/>
          <w:szCs w:val="24"/>
        </w:rPr>
        <w:t>dei beni e servizi considerati per poter effettuare il calcolo della media ponderata.</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 xml:space="preserve"> Occorre distinguere due casi: la ponderazione con valori e la ponderazione con quantità.</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r w:rsidRPr="00AB07D2">
        <w:rPr>
          <w:rFonts w:ascii="AgeInTexNormal" w:hAnsi="AgeInTexNormal" w:cs="AgeInTexNormal"/>
          <w:b/>
          <w:sz w:val="24"/>
          <w:szCs w:val="24"/>
        </w:rPr>
        <w:t>La ponderazione per valori</w:t>
      </w: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 xml:space="preserve">1. </w:t>
      </w:r>
      <w:r w:rsidRPr="00AB07D2">
        <w:rPr>
          <w:rFonts w:ascii="VangItalic" w:hAnsi="VangItalic" w:cs="VangItalic"/>
          <w:i/>
          <w:iCs/>
          <w:sz w:val="24"/>
          <w:szCs w:val="24"/>
        </w:rPr>
        <w:t xml:space="preserve">La ponderazione con valori </w:t>
      </w:r>
      <w:r w:rsidRPr="00AB07D2">
        <w:rPr>
          <w:rFonts w:ascii="VangRoman" w:hAnsi="VangRoman" w:cs="VangRoman"/>
          <w:sz w:val="24"/>
          <w:szCs w:val="24"/>
        </w:rPr>
        <w:t>Una ponderazione razionale si ha attribuendo a ciascun numero indice elementare un peso uguale al valore, al tempo base nel luogo di riferimento, della quantità consumata (se l’indice si riferirà ai prezzi al consumo) o scambiata (se l’indice si riferirà ai prezzi</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all’ingrosso) di ciascun bene e servizio considerato per la popolazione di riferimento.</w:t>
      </w:r>
    </w:p>
    <w:p w:rsidR="00B7534A"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 xml:space="preserve">Indicando con </w:t>
      </w:r>
      <w:r w:rsidRPr="00AB07D2">
        <w:rPr>
          <w:rFonts w:ascii="VangItalic" w:hAnsi="VangItalic" w:cs="VangItalic"/>
          <w:i/>
          <w:iCs/>
          <w:sz w:val="24"/>
          <w:szCs w:val="24"/>
        </w:rPr>
        <w:t>q</w:t>
      </w:r>
      <w:r w:rsidRPr="00AB07D2">
        <w:rPr>
          <w:rFonts w:ascii="VangRoman" w:hAnsi="VangRoman" w:cs="VangRoman"/>
          <w:sz w:val="24"/>
          <w:szCs w:val="24"/>
        </w:rPr>
        <w:t xml:space="preserve">0, </w:t>
      </w:r>
      <w:r w:rsidRPr="00AB07D2">
        <w:rPr>
          <w:rFonts w:ascii="VangItalic" w:hAnsi="VangItalic" w:cs="VangItalic"/>
          <w:i/>
          <w:iCs/>
          <w:sz w:val="24"/>
          <w:szCs w:val="24"/>
        </w:rPr>
        <w:t xml:space="preserve">j </w:t>
      </w:r>
      <w:r w:rsidRPr="00AB07D2">
        <w:rPr>
          <w:rFonts w:ascii="VangRoman" w:hAnsi="VangRoman" w:cs="VangRoman"/>
          <w:sz w:val="24"/>
          <w:szCs w:val="24"/>
        </w:rPr>
        <w:t xml:space="preserve">le quantità consumate o scambiate al tempo base 0 della merce </w:t>
      </w:r>
      <w:r w:rsidRPr="00AB07D2">
        <w:rPr>
          <w:rFonts w:ascii="VangItalic" w:hAnsi="VangItalic" w:cs="VangItalic"/>
          <w:i/>
          <w:iCs/>
          <w:sz w:val="24"/>
          <w:szCs w:val="24"/>
        </w:rPr>
        <w:t xml:space="preserve">j </w:t>
      </w:r>
      <w:r w:rsidRPr="00AB07D2">
        <w:rPr>
          <w:rFonts w:ascii="VangRoman" w:hAnsi="VangRoman" w:cs="VangRoman"/>
          <w:sz w:val="24"/>
          <w:szCs w:val="24"/>
        </w:rPr>
        <w:t xml:space="preserve">(per </w:t>
      </w:r>
      <w:r w:rsidRPr="00AB07D2">
        <w:rPr>
          <w:rFonts w:ascii="VangItalic" w:hAnsi="VangItalic" w:cs="VangItalic"/>
          <w:i/>
          <w:iCs/>
          <w:sz w:val="24"/>
          <w:szCs w:val="24"/>
        </w:rPr>
        <w:t>j</w:t>
      </w:r>
      <w:r w:rsidRPr="00AB07D2">
        <w:rPr>
          <w:rFonts w:ascii="VangRoman" w:hAnsi="VangRoman" w:cs="VangRoman"/>
          <w:sz w:val="24"/>
          <w:szCs w:val="24"/>
        </w:rPr>
        <w:t xml:space="preserve">=1, 2, ... </w:t>
      </w:r>
      <w:r w:rsidRPr="00AB07D2">
        <w:rPr>
          <w:rFonts w:ascii="VangItalic" w:hAnsi="VangItalic" w:cs="VangItalic"/>
          <w:i/>
          <w:iCs/>
          <w:sz w:val="24"/>
          <w:szCs w:val="24"/>
        </w:rPr>
        <w:t>m</w:t>
      </w:r>
      <w:r w:rsidRPr="00AB07D2">
        <w:rPr>
          <w:rFonts w:ascii="VangRoman" w:hAnsi="VangRoman" w:cs="VangRoman"/>
          <w:sz w:val="24"/>
          <w:szCs w:val="24"/>
        </w:rPr>
        <w:t xml:space="preserve">) e con </w:t>
      </w:r>
      <w:r w:rsidRPr="00AB07D2">
        <w:rPr>
          <w:rFonts w:ascii="VangItalic" w:hAnsi="VangItalic" w:cs="VangItalic"/>
          <w:i/>
          <w:iCs/>
          <w:sz w:val="24"/>
          <w:szCs w:val="24"/>
        </w:rPr>
        <w:t>p</w:t>
      </w:r>
      <w:r w:rsidRPr="00AB07D2">
        <w:rPr>
          <w:rFonts w:ascii="VangRoman" w:hAnsi="VangRoman" w:cs="VangRoman"/>
          <w:sz w:val="24"/>
          <w:szCs w:val="24"/>
        </w:rPr>
        <w:t xml:space="preserve">0, </w:t>
      </w:r>
      <w:r w:rsidRPr="00AB07D2">
        <w:rPr>
          <w:rFonts w:ascii="VangItalic" w:hAnsi="VangItalic" w:cs="VangItalic"/>
          <w:i/>
          <w:iCs/>
          <w:sz w:val="24"/>
          <w:szCs w:val="24"/>
        </w:rPr>
        <w:t xml:space="preserve">j </w:t>
      </w:r>
      <w:r w:rsidRPr="00AB07D2">
        <w:rPr>
          <w:rFonts w:ascii="VangRoman" w:hAnsi="VangRoman" w:cs="VangRoman"/>
          <w:sz w:val="24"/>
          <w:szCs w:val="24"/>
        </w:rPr>
        <w:t xml:space="preserve">il rispettivo prezzo al tempo base, con </w:t>
      </w:r>
      <w:r w:rsidRPr="00AB07D2">
        <w:rPr>
          <w:rFonts w:ascii="VangItalic" w:hAnsi="VangItalic" w:cs="VangItalic"/>
          <w:i/>
          <w:iCs/>
          <w:sz w:val="24"/>
          <w:szCs w:val="24"/>
        </w:rPr>
        <w:t>q</w:t>
      </w:r>
      <w:r w:rsidRPr="00AB07D2">
        <w:rPr>
          <w:rFonts w:ascii="VangRoman" w:hAnsi="VangRoman" w:cs="VangRoman"/>
          <w:sz w:val="24"/>
          <w:szCs w:val="24"/>
        </w:rPr>
        <w:t xml:space="preserve">1, </w:t>
      </w:r>
      <w:r w:rsidRPr="00AB07D2">
        <w:rPr>
          <w:rFonts w:ascii="VangItalic" w:hAnsi="VangItalic" w:cs="VangItalic"/>
          <w:i/>
          <w:iCs/>
          <w:sz w:val="24"/>
          <w:szCs w:val="24"/>
        </w:rPr>
        <w:t xml:space="preserve">j </w:t>
      </w:r>
      <w:r w:rsidRPr="00AB07D2">
        <w:rPr>
          <w:rFonts w:ascii="VangRoman" w:hAnsi="VangRoman" w:cs="VangRoman"/>
          <w:sz w:val="24"/>
          <w:szCs w:val="24"/>
        </w:rPr>
        <w:t xml:space="preserve">le quantità consumate o scambiate al tempo 1 della merce </w:t>
      </w:r>
      <w:r w:rsidRPr="00AB07D2">
        <w:rPr>
          <w:rFonts w:ascii="VangItalic" w:hAnsi="VangItalic" w:cs="VangItalic"/>
          <w:i/>
          <w:iCs/>
          <w:sz w:val="24"/>
          <w:szCs w:val="24"/>
        </w:rPr>
        <w:t xml:space="preserve">j </w:t>
      </w:r>
      <w:r w:rsidRPr="00AB07D2">
        <w:rPr>
          <w:rFonts w:ascii="VangRoman" w:hAnsi="VangRoman" w:cs="VangRoman"/>
          <w:sz w:val="24"/>
          <w:szCs w:val="24"/>
        </w:rPr>
        <w:t xml:space="preserve">e con </w:t>
      </w:r>
      <w:r w:rsidRPr="00AB07D2">
        <w:rPr>
          <w:rFonts w:ascii="VangItalic" w:hAnsi="VangItalic" w:cs="VangItalic"/>
          <w:i/>
          <w:iCs/>
          <w:sz w:val="24"/>
          <w:szCs w:val="24"/>
        </w:rPr>
        <w:t>p</w:t>
      </w:r>
      <w:r w:rsidRPr="00AB07D2">
        <w:rPr>
          <w:rFonts w:ascii="VangRoman" w:hAnsi="VangRoman" w:cs="VangRoman"/>
          <w:sz w:val="24"/>
          <w:szCs w:val="24"/>
        </w:rPr>
        <w:t xml:space="preserve">1, </w:t>
      </w:r>
      <w:r w:rsidRPr="00AB07D2">
        <w:rPr>
          <w:rFonts w:ascii="VangItalic" w:hAnsi="VangItalic" w:cs="VangItalic"/>
          <w:i/>
          <w:iCs/>
          <w:sz w:val="24"/>
          <w:szCs w:val="24"/>
        </w:rPr>
        <w:t xml:space="preserve">j </w:t>
      </w:r>
      <w:r w:rsidRPr="00AB07D2">
        <w:rPr>
          <w:rFonts w:ascii="VangRoman" w:hAnsi="VangRoman" w:cs="VangRoman"/>
          <w:sz w:val="24"/>
          <w:szCs w:val="24"/>
        </w:rPr>
        <w:t>il rispettivo prezzo al tempo 1, si avrebbero le seguenti quattro possibili combinazioni di ponderazioni:</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ind w:left="3540"/>
        <w:jc w:val="both"/>
        <w:rPr>
          <w:rFonts w:ascii="VangItalic" w:hAnsi="VangItalic" w:cs="VangItalic"/>
          <w:i/>
          <w:iCs/>
          <w:sz w:val="24"/>
          <w:szCs w:val="24"/>
        </w:rPr>
      </w:pPr>
      <w:r w:rsidRPr="00AB07D2">
        <w:rPr>
          <w:rFonts w:ascii="VangItalic" w:hAnsi="VangItalic" w:cs="VangItalic"/>
          <w:i/>
          <w:iCs/>
          <w:sz w:val="24"/>
          <w:szCs w:val="24"/>
        </w:rPr>
        <w:t>p</w:t>
      </w:r>
      <w:r w:rsidRPr="00AB07D2">
        <w:rPr>
          <w:rFonts w:ascii="VangRoman" w:hAnsi="VangRoman" w:cs="VangRoman"/>
          <w:sz w:val="24"/>
          <w:szCs w:val="24"/>
        </w:rPr>
        <w:t xml:space="preserve">0, </w:t>
      </w:r>
      <w:r w:rsidRPr="00AB07D2">
        <w:rPr>
          <w:rFonts w:ascii="VangItalic" w:hAnsi="VangItalic" w:cs="VangItalic"/>
          <w:i/>
          <w:iCs/>
          <w:sz w:val="24"/>
          <w:szCs w:val="24"/>
        </w:rPr>
        <w:t>j q</w:t>
      </w:r>
      <w:r w:rsidRPr="00AB07D2">
        <w:rPr>
          <w:rFonts w:ascii="VangRoman" w:hAnsi="VangRoman" w:cs="VangRoman"/>
          <w:sz w:val="24"/>
          <w:szCs w:val="24"/>
        </w:rPr>
        <w:t xml:space="preserve">0, </w:t>
      </w:r>
      <w:r w:rsidRPr="00AB07D2">
        <w:rPr>
          <w:rFonts w:ascii="VangItalic" w:hAnsi="VangItalic" w:cs="VangItalic"/>
          <w:i/>
          <w:iCs/>
          <w:sz w:val="24"/>
          <w:szCs w:val="24"/>
        </w:rPr>
        <w:t>j</w:t>
      </w:r>
    </w:p>
    <w:p w:rsidR="00B7534A" w:rsidRPr="00AB07D2" w:rsidRDefault="00B7534A" w:rsidP="00B7534A">
      <w:pPr>
        <w:autoSpaceDE w:val="0"/>
        <w:autoSpaceDN w:val="0"/>
        <w:adjustRightInd w:val="0"/>
        <w:spacing w:after="0" w:line="240" w:lineRule="auto"/>
        <w:ind w:left="3540"/>
        <w:jc w:val="both"/>
        <w:rPr>
          <w:rFonts w:ascii="VangItalic" w:hAnsi="VangItalic" w:cs="VangItalic"/>
          <w:i/>
          <w:iCs/>
          <w:sz w:val="24"/>
          <w:szCs w:val="24"/>
        </w:rPr>
      </w:pPr>
      <w:r w:rsidRPr="00AB07D2">
        <w:rPr>
          <w:rFonts w:ascii="VangItalic" w:hAnsi="VangItalic" w:cs="VangItalic"/>
          <w:i/>
          <w:iCs/>
          <w:sz w:val="24"/>
          <w:szCs w:val="24"/>
        </w:rPr>
        <w:t>p</w:t>
      </w:r>
      <w:r w:rsidRPr="00AB07D2">
        <w:rPr>
          <w:rFonts w:ascii="VangRoman" w:hAnsi="VangRoman" w:cs="VangRoman"/>
          <w:sz w:val="24"/>
          <w:szCs w:val="24"/>
        </w:rPr>
        <w:t xml:space="preserve">0, </w:t>
      </w:r>
      <w:r w:rsidRPr="00AB07D2">
        <w:rPr>
          <w:rFonts w:ascii="VangItalic" w:hAnsi="VangItalic" w:cs="VangItalic"/>
          <w:i/>
          <w:iCs/>
          <w:sz w:val="24"/>
          <w:szCs w:val="24"/>
        </w:rPr>
        <w:t>j q</w:t>
      </w:r>
      <w:r w:rsidRPr="00AB07D2">
        <w:rPr>
          <w:rFonts w:ascii="VangRoman" w:hAnsi="VangRoman" w:cs="VangRoman"/>
          <w:sz w:val="24"/>
          <w:szCs w:val="24"/>
        </w:rPr>
        <w:t xml:space="preserve">1, </w:t>
      </w:r>
      <w:r w:rsidRPr="00AB07D2">
        <w:rPr>
          <w:rFonts w:ascii="VangItalic" w:hAnsi="VangItalic" w:cs="VangItalic"/>
          <w:i/>
          <w:iCs/>
          <w:sz w:val="24"/>
          <w:szCs w:val="24"/>
        </w:rPr>
        <w:t>j</w:t>
      </w:r>
    </w:p>
    <w:p w:rsidR="00B7534A" w:rsidRPr="00AB07D2" w:rsidRDefault="00B7534A" w:rsidP="00B7534A">
      <w:pPr>
        <w:autoSpaceDE w:val="0"/>
        <w:autoSpaceDN w:val="0"/>
        <w:adjustRightInd w:val="0"/>
        <w:spacing w:after="0" w:line="240" w:lineRule="auto"/>
        <w:ind w:left="3540"/>
        <w:jc w:val="both"/>
        <w:rPr>
          <w:rFonts w:ascii="VangItalic" w:hAnsi="VangItalic" w:cs="VangItalic"/>
          <w:i/>
          <w:iCs/>
          <w:sz w:val="24"/>
          <w:szCs w:val="24"/>
        </w:rPr>
      </w:pPr>
      <w:r w:rsidRPr="00AB07D2">
        <w:rPr>
          <w:rFonts w:ascii="VangItalic" w:hAnsi="VangItalic" w:cs="VangItalic"/>
          <w:i/>
          <w:iCs/>
          <w:sz w:val="24"/>
          <w:szCs w:val="24"/>
        </w:rPr>
        <w:t>p</w:t>
      </w:r>
      <w:r w:rsidRPr="00AB07D2">
        <w:rPr>
          <w:rFonts w:ascii="VangRoman" w:hAnsi="VangRoman" w:cs="VangRoman"/>
          <w:sz w:val="24"/>
          <w:szCs w:val="24"/>
        </w:rPr>
        <w:t xml:space="preserve">1, </w:t>
      </w:r>
      <w:r w:rsidRPr="00AB07D2">
        <w:rPr>
          <w:rFonts w:ascii="VangItalic" w:hAnsi="VangItalic" w:cs="VangItalic"/>
          <w:i/>
          <w:iCs/>
          <w:sz w:val="24"/>
          <w:szCs w:val="24"/>
        </w:rPr>
        <w:t>j q</w:t>
      </w:r>
      <w:r w:rsidRPr="00AB07D2">
        <w:rPr>
          <w:rFonts w:ascii="VangRoman" w:hAnsi="VangRoman" w:cs="VangRoman"/>
          <w:sz w:val="24"/>
          <w:szCs w:val="24"/>
        </w:rPr>
        <w:t xml:space="preserve">1, </w:t>
      </w:r>
      <w:r w:rsidRPr="00AB07D2">
        <w:rPr>
          <w:rFonts w:ascii="VangItalic" w:hAnsi="VangItalic" w:cs="VangItalic"/>
          <w:i/>
          <w:iCs/>
          <w:sz w:val="24"/>
          <w:szCs w:val="24"/>
        </w:rPr>
        <w:t>j</w:t>
      </w:r>
    </w:p>
    <w:p w:rsidR="00B7534A" w:rsidRDefault="00B7534A" w:rsidP="00B7534A">
      <w:pPr>
        <w:autoSpaceDE w:val="0"/>
        <w:autoSpaceDN w:val="0"/>
        <w:adjustRightInd w:val="0"/>
        <w:spacing w:after="0" w:line="240" w:lineRule="auto"/>
        <w:ind w:left="3540"/>
        <w:jc w:val="both"/>
        <w:rPr>
          <w:rFonts w:ascii="VangItalic" w:hAnsi="VangItalic" w:cs="VangItalic"/>
          <w:i/>
          <w:iCs/>
          <w:sz w:val="24"/>
          <w:szCs w:val="24"/>
        </w:rPr>
      </w:pPr>
      <w:r w:rsidRPr="00AB07D2">
        <w:rPr>
          <w:rFonts w:ascii="VangItalic" w:hAnsi="VangItalic" w:cs="VangItalic"/>
          <w:i/>
          <w:iCs/>
          <w:sz w:val="24"/>
          <w:szCs w:val="24"/>
        </w:rPr>
        <w:t>p</w:t>
      </w:r>
      <w:r w:rsidRPr="00AB07D2">
        <w:rPr>
          <w:rFonts w:ascii="VangRoman" w:hAnsi="VangRoman" w:cs="VangRoman"/>
          <w:sz w:val="24"/>
          <w:szCs w:val="24"/>
        </w:rPr>
        <w:t xml:space="preserve">1, </w:t>
      </w:r>
      <w:r w:rsidRPr="00AB07D2">
        <w:rPr>
          <w:rFonts w:ascii="VangItalic" w:hAnsi="VangItalic" w:cs="VangItalic"/>
          <w:i/>
          <w:iCs/>
          <w:sz w:val="24"/>
          <w:szCs w:val="24"/>
        </w:rPr>
        <w:t>j q</w:t>
      </w:r>
      <w:r w:rsidRPr="00AB07D2">
        <w:rPr>
          <w:rFonts w:ascii="VangRoman" w:hAnsi="VangRoman" w:cs="VangRoman"/>
          <w:sz w:val="24"/>
          <w:szCs w:val="24"/>
        </w:rPr>
        <w:t xml:space="preserve">0, </w:t>
      </w:r>
      <w:r w:rsidRPr="00AB07D2">
        <w:rPr>
          <w:rFonts w:ascii="VangItalic" w:hAnsi="VangItalic" w:cs="VangItalic"/>
          <w:i/>
          <w:iCs/>
          <w:sz w:val="24"/>
          <w:szCs w:val="24"/>
        </w:rPr>
        <w:t>j</w:t>
      </w:r>
    </w:p>
    <w:p w:rsidR="00B7534A" w:rsidRPr="00AB07D2" w:rsidRDefault="00B7534A" w:rsidP="00B7534A">
      <w:pPr>
        <w:autoSpaceDE w:val="0"/>
        <w:autoSpaceDN w:val="0"/>
        <w:adjustRightInd w:val="0"/>
        <w:spacing w:after="0" w:line="240" w:lineRule="auto"/>
        <w:ind w:left="3540"/>
        <w:jc w:val="both"/>
        <w:rPr>
          <w:rFonts w:ascii="VangItalic" w:hAnsi="VangItalic" w:cs="VangItalic"/>
          <w:i/>
          <w:iCs/>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Le prime due sono quelle più impiegate.</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r w:rsidRPr="00AB07D2">
        <w:rPr>
          <w:rFonts w:ascii="AgeInTexNormal" w:hAnsi="AgeInTexNormal" w:cs="AgeInTexNormal"/>
          <w:b/>
          <w:sz w:val="24"/>
          <w:szCs w:val="24"/>
        </w:rPr>
        <w:t>La media aritmetica ponderata</w:t>
      </w: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In particolare scegliendo il coefficiente di ponderazione per cui moltiplicare ciascun numero indice elementare dato dal prodotto (</w:t>
      </w:r>
      <w:r w:rsidRPr="00AB07D2">
        <w:rPr>
          <w:rFonts w:ascii="VangItalic" w:hAnsi="VangItalic" w:cs="VangItalic"/>
          <w:i/>
          <w:iCs/>
          <w:sz w:val="24"/>
          <w:szCs w:val="24"/>
        </w:rPr>
        <w:t>p</w:t>
      </w:r>
      <w:r w:rsidRPr="00AB07D2">
        <w:rPr>
          <w:rFonts w:ascii="VangRoman" w:hAnsi="VangRoman" w:cs="VangRoman"/>
          <w:sz w:val="24"/>
          <w:szCs w:val="24"/>
        </w:rPr>
        <w:t xml:space="preserve">0, </w:t>
      </w:r>
      <w:r w:rsidRPr="00AB07D2">
        <w:rPr>
          <w:rFonts w:ascii="VangItalic" w:hAnsi="VangItalic" w:cs="VangItalic"/>
          <w:i/>
          <w:iCs/>
          <w:sz w:val="24"/>
          <w:szCs w:val="24"/>
        </w:rPr>
        <w:t xml:space="preserve">j </w:t>
      </w:r>
      <w:r w:rsidRPr="00AB07D2">
        <w:rPr>
          <w:rFonts w:ascii="VangRoman" w:hAnsi="VangRoman" w:cs="VangRoman"/>
          <w:sz w:val="24"/>
          <w:szCs w:val="24"/>
        </w:rPr>
        <w:t xml:space="preserve">· </w:t>
      </w:r>
      <w:r w:rsidRPr="00AB07D2">
        <w:rPr>
          <w:rFonts w:ascii="VangItalic" w:hAnsi="VangItalic" w:cs="VangItalic"/>
          <w:i/>
          <w:iCs/>
          <w:sz w:val="24"/>
          <w:szCs w:val="24"/>
        </w:rPr>
        <w:t>q</w:t>
      </w:r>
      <w:r w:rsidRPr="00AB07D2">
        <w:rPr>
          <w:rFonts w:ascii="VangRoman" w:hAnsi="VangRoman" w:cs="VangRoman"/>
          <w:sz w:val="24"/>
          <w:szCs w:val="24"/>
        </w:rPr>
        <w:t xml:space="preserve">0, </w:t>
      </w:r>
      <w:r w:rsidRPr="00AB07D2">
        <w:rPr>
          <w:rFonts w:ascii="VangItalic" w:hAnsi="VangItalic" w:cs="VangItalic"/>
          <w:i/>
          <w:iCs/>
          <w:sz w:val="24"/>
          <w:szCs w:val="24"/>
        </w:rPr>
        <w:t>j</w:t>
      </w:r>
      <w:r w:rsidRPr="00AB07D2">
        <w:rPr>
          <w:rFonts w:ascii="VangRoman" w:hAnsi="VangRoman" w:cs="VangRoman"/>
          <w:sz w:val="24"/>
          <w:szCs w:val="24"/>
        </w:rPr>
        <w:t xml:space="preserve">) ossia dalla quantità consumata o scambiata del bene </w:t>
      </w:r>
      <w:r w:rsidRPr="00AB07D2">
        <w:rPr>
          <w:rFonts w:ascii="VangItalic" w:hAnsi="VangItalic" w:cs="VangItalic"/>
          <w:i/>
          <w:iCs/>
          <w:sz w:val="24"/>
          <w:szCs w:val="24"/>
        </w:rPr>
        <w:t>j</w:t>
      </w:r>
      <w:r w:rsidRPr="00AB07D2">
        <w:rPr>
          <w:rFonts w:ascii="VangRoman" w:hAnsi="VangRoman" w:cs="VangRoman"/>
          <w:sz w:val="24"/>
          <w:szCs w:val="24"/>
        </w:rPr>
        <w:t xml:space="preserve">-esimo nel tempo base espressa in valori ed impiegando per la sintesi degli indici elementari la </w:t>
      </w:r>
      <w:r w:rsidRPr="00AB07D2">
        <w:rPr>
          <w:rFonts w:ascii="AGaramondAge-Semibold" w:hAnsi="AGaramondAge-Semibold" w:cs="AGaramondAge-Semibold"/>
          <w:sz w:val="24"/>
          <w:szCs w:val="24"/>
        </w:rPr>
        <w:t xml:space="preserve">media aritmetica ponderata </w:t>
      </w:r>
      <w:r w:rsidRPr="00AB07D2">
        <w:rPr>
          <w:rFonts w:ascii="VangRoman" w:hAnsi="VangRoman" w:cs="VangRoman"/>
          <w:sz w:val="24"/>
          <w:szCs w:val="24"/>
        </w:rPr>
        <w:t xml:space="preserve">con i coefficienti di ponderazione suddetti, si ottiene il seguente numero indice complesso dei prezzi, detto anche </w:t>
      </w:r>
      <w:r w:rsidRPr="00AB07D2">
        <w:rPr>
          <w:rFonts w:ascii="AGaramondAge-Semibold" w:hAnsi="AGaramondAge-Semibold" w:cs="AGaramondAge-Semibold"/>
          <w:sz w:val="24"/>
          <w:szCs w:val="24"/>
        </w:rPr>
        <w:t xml:space="preserve">indice di </w:t>
      </w:r>
      <w:proofErr w:type="spellStart"/>
      <w:r w:rsidRPr="00AB07D2">
        <w:rPr>
          <w:rFonts w:ascii="AGaramondAge-Semibold" w:hAnsi="AGaramondAge-Semibold" w:cs="AGaramondAge-Semibold"/>
          <w:sz w:val="24"/>
          <w:szCs w:val="24"/>
        </w:rPr>
        <w:t>Laspeyres</w:t>
      </w:r>
      <w:proofErr w:type="spellEnd"/>
      <w:r w:rsidRPr="00AB07D2">
        <w:rPr>
          <w:rFonts w:ascii="AGaramondAge-Semibold" w:hAnsi="AGaramondAge-Semibold" w:cs="AGaramondAge-Semibold"/>
          <w:sz w:val="24"/>
          <w:szCs w:val="24"/>
        </w:rPr>
        <w:t xml:space="preserve"> </w:t>
      </w:r>
      <w:r w:rsidRPr="00AB07D2">
        <w:rPr>
          <w:rFonts w:ascii="VangRoman" w:hAnsi="VangRoman" w:cs="VangRoman"/>
          <w:sz w:val="24"/>
          <w:szCs w:val="24"/>
        </w:rPr>
        <w:t>(</w:t>
      </w:r>
      <w:r w:rsidRPr="00AB07D2">
        <w:rPr>
          <w:rFonts w:ascii="VangItalic" w:hAnsi="VangItalic" w:cs="VangItalic"/>
          <w:i/>
          <w:iCs/>
          <w:sz w:val="24"/>
          <w:szCs w:val="24"/>
        </w:rPr>
        <w:t>IL</w:t>
      </w:r>
      <w:r w:rsidRPr="00AB07D2">
        <w:rPr>
          <w:rFonts w:ascii="VangRoman" w:hAnsi="VangRoman" w:cs="VangRoman"/>
          <w:sz w:val="24"/>
          <w:szCs w:val="24"/>
        </w:rPr>
        <w:t>):</w:t>
      </w: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r w:rsidRPr="00AB07D2">
        <w:rPr>
          <w:rFonts w:ascii="AgeInTexNormal" w:hAnsi="AgeInTexNormal" w:cs="AgeInTexNormal"/>
          <w:b/>
          <w:sz w:val="24"/>
          <w:szCs w:val="24"/>
        </w:rPr>
        <w:t xml:space="preserve">L’indice di </w:t>
      </w:r>
      <w:proofErr w:type="spellStart"/>
      <w:r w:rsidRPr="00AB07D2">
        <w:rPr>
          <w:rFonts w:ascii="AgeInTexNormal" w:hAnsi="AgeInTexNormal" w:cs="AgeInTexNormal"/>
          <w:b/>
          <w:sz w:val="24"/>
          <w:szCs w:val="24"/>
        </w:rPr>
        <w:t>Laspeyres</w:t>
      </w:r>
      <w:proofErr w:type="spellEnd"/>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ind w:left="1416" w:firstLine="708"/>
        <w:jc w:val="both"/>
        <w:rPr>
          <w:rFonts w:ascii="VangRoman" w:hAnsi="VangRoman" w:cs="VangRoman"/>
          <w:sz w:val="24"/>
          <w:szCs w:val="24"/>
        </w:rPr>
      </w:pPr>
      <w:r w:rsidRPr="00AB07D2">
        <w:rPr>
          <w:rFonts w:ascii="VangRoman" w:hAnsi="VangRoman" w:cs="VangRoman"/>
          <w:position w:val="-64"/>
          <w:sz w:val="24"/>
          <w:szCs w:val="24"/>
        </w:rPr>
        <w:object w:dxaOrig="408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5.5pt;height:83.25pt" o:ole="">
            <v:imagedata r:id="rId5" o:title=""/>
          </v:shape>
          <o:OLEObject Type="Embed" ProgID="Equation.3" ShapeID="_x0000_i1025" DrawAspect="Content" ObjectID="_1333208816" r:id="rId6"/>
        </w:objec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position w:val="-10"/>
          <w:sz w:val="24"/>
          <w:szCs w:val="24"/>
        </w:rPr>
        <w:object w:dxaOrig="180" w:dyaOrig="340">
          <v:shape id="_x0000_i1026" type="#_x0000_t75" style="width:9pt;height:17.25pt" o:ole="">
            <v:imagedata r:id="rId7" o:title=""/>
          </v:shape>
          <o:OLEObject Type="Embed" ProgID="Equation.3" ShapeID="_x0000_i1026" DrawAspect="Content" ObjectID="_1333208817" r:id="rId8"/>
        </w:object>
      </w:r>
      <w:r w:rsidRPr="00AB07D2">
        <w:rPr>
          <w:rFonts w:ascii="VangRoman" w:hAnsi="VangRoman" w:cs="VangRoman"/>
          <w:sz w:val="24"/>
          <w:szCs w:val="24"/>
        </w:rPr>
        <w:t>in cui i simboli hanno il significato già indicato.</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Un altro tipo di ponderazione si potrebbe avere scegliendo come coefficiente il prodotto (</w:t>
      </w:r>
      <w:r w:rsidRPr="00AB07D2">
        <w:rPr>
          <w:rFonts w:ascii="VangItalic" w:hAnsi="VangItalic" w:cs="VangItalic"/>
          <w:i/>
          <w:iCs/>
          <w:sz w:val="24"/>
          <w:szCs w:val="24"/>
        </w:rPr>
        <w:t>p</w:t>
      </w:r>
      <w:r w:rsidRPr="00AB07D2">
        <w:rPr>
          <w:rFonts w:ascii="VangRoman" w:hAnsi="VangRoman" w:cs="VangRoman"/>
          <w:sz w:val="24"/>
          <w:szCs w:val="24"/>
        </w:rPr>
        <w:t xml:space="preserve">0, </w:t>
      </w:r>
      <w:r w:rsidRPr="00AB07D2">
        <w:rPr>
          <w:rFonts w:ascii="VangItalic" w:hAnsi="VangItalic" w:cs="VangItalic"/>
          <w:i/>
          <w:iCs/>
          <w:sz w:val="24"/>
          <w:szCs w:val="24"/>
        </w:rPr>
        <w:t xml:space="preserve">j </w:t>
      </w:r>
      <w:r w:rsidRPr="00AB07D2">
        <w:rPr>
          <w:rFonts w:ascii="VangRoman" w:hAnsi="VangRoman" w:cs="VangRoman"/>
          <w:sz w:val="24"/>
          <w:szCs w:val="24"/>
        </w:rPr>
        <w:t xml:space="preserve">· </w:t>
      </w:r>
      <w:r w:rsidRPr="00AB07D2">
        <w:rPr>
          <w:rFonts w:ascii="VangItalic" w:hAnsi="VangItalic" w:cs="VangItalic"/>
          <w:i/>
          <w:iCs/>
          <w:sz w:val="24"/>
          <w:szCs w:val="24"/>
        </w:rPr>
        <w:t>q</w:t>
      </w:r>
      <w:r w:rsidRPr="00AB07D2">
        <w:rPr>
          <w:rFonts w:ascii="VangRoman" w:hAnsi="VangRoman" w:cs="VangRoman"/>
          <w:sz w:val="24"/>
          <w:szCs w:val="24"/>
        </w:rPr>
        <w:t xml:space="preserve">1, </w:t>
      </w:r>
      <w:r w:rsidRPr="00AB07D2">
        <w:rPr>
          <w:rFonts w:ascii="VangItalic" w:hAnsi="VangItalic" w:cs="VangItalic"/>
          <w:i/>
          <w:iCs/>
          <w:sz w:val="24"/>
          <w:szCs w:val="24"/>
        </w:rPr>
        <w:t>j</w:t>
      </w:r>
      <w:r w:rsidRPr="00AB07D2">
        <w:rPr>
          <w:rFonts w:ascii="VangRoman" w:hAnsi="VangRoman" w:cs="VangRoman"/>
          <w:sz w:val="24"/>
          <w:szCs w:val="24"/>
        </w:rPr>
        <w:t xml:space="preserve">) ossia il prezzo del bene </w:t>
      </w:r>
      <w:r w:rsidRPr="00AB07D2">
        <w:rPr>
          <w:rFonts w:ascii="VangItalic" w:hAnsi="VangItalic" w:cs="VangItalic"/>
          <w:i/>
          <w:iCs/>
          <w:sz w:val="24"/>
          <w:szCs w:val="24"/>
        </w:rPr>
        <w:t xml:space="preserve">j </w:t>
      </w:r>
      <w:r w:rsidRPr="00AB07D2">
        <w:rPr>
          <w:rFonts w:ascii="VangRoman" w:hAnsi="VangRoman" w:cs="VangRoman"/>
          <w:sz w:val="24"/>
          <w:szCs w:val="24"/>
        </w:rPr>
        <w:t>al tempo base per la quantità consumata o scambiata al tempo 1.</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 xml:space="preserve">Impiegando sempre la media aritmetica ponderata con tali coefficienti si avrà il seguente numero indice complesso dei prezzi, detto </w:t>
      </w:r>
      <w:r w:rsidRPr="00AB07D2">
        <w:rPr>
          <w:rFonts w:ascii="AGaramondAge-Semibold" w:hAnsi="AGaramondAge-Semibold" w:cs="AGaramondAge-Semibold"/>
          <w:sz w:val="24"/>
          <w:szCs w:val="24"/>
        </w:rPr>
        <w:t xml:space="preserve">indice di </w:t>
      </w:r>
      <w:proofErr w:type="spellStart"/>
      <w:r w:rsidRPr="00AB07D2">
        <w:rPr>
          <w:rFonts w:ascii="AGaramondAge-Semibold" w:hAnsi="AGaramondAge-Semibold" w:cs="AGaramondAge-Semibold"/>
          <w:sz w:val="24"/>
          <w:szCs w:val="24"/>
        </w:rPr>
        <w:t>Paasche</w:t>
      </w:r>
      <w:proofErr w:type="spellEnd"/>
      <w:r w:rsidRPr="00AB07D2">
        <w:rPr>
          <w:rFonts w:ascii="AGaramondAge-Semibold" w:hAnsi="AGaramondAge-Semibold" w:cs="AGaramondAge-Semibold"/>
          <w:sz w:val="24"/>
          <w:szCs w:val="24"/>
        </w:rPr>
        <w:t xml:space="preserve"> </w:t>
      </w:r>
      <w:r w:rsidRPr="00AB07D2">
        <w:rPr>
          <w:rFonts w:ascii="VangRoman" w:hAnsi="VangRoman" w:cs="VangRoman"/>
          <w:sz w:val="24"/>
          <w:szCs w:val="24"/>
        </w:rPr>
        <w:t>(</w:t>
      </w:r>
      <w:r w:rsidRPr="00AB07D2">
        <w:rPr>
          <w:rFonts w:ascii="VangItalic" w:hAnsi="VangItalic" w:cs="VangItalic"/>
          <w:i/>
          <w:iCs/>
          <w:sz w:val="24"/>
          <w:szCs w:val="24"/>
        </w:rPr>
        <w:t>IP</w:t>
      </w:r>
      <w:r w:rsidRPr="00AB07D2">
        <w:rPr>
          <w:rFonts w:ascii="VangRoman" w:hAnsi="VangRoman" w:cs="VangRoman"/>
          <w:sz w:val="24"/>
          <w:szCs w:val="24"/>
        </w:rPr>
        <w:t>):</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r w:rsidRPr="00AB07D2">
        <w:rPr>
          <w:rFonts w:ascii="AgeInTexNormal" w:hAnsi="AgeInTexNormal" w:cs="AgeInTexNormal"/>
          <w:b/>
          <w:sz w:val="24"/>
          <w:szCs w:val="24"/>
        </w:rPr>
        <w:t xml:space="preserve">L’indice di </w:t>
      </w:r>
      <w:proofErr w:type="spellStart"/>
      <w:r w:rsidRPr="00AB07D2">
        <w:rPr>
          <w:rFonts w:ascii="AgeInTexNormal" w:hAnsi="AgeInTexNormal" w:cs="AgeInTexNormal"/>
          <w:b/>
          <w:sz w:val="24"/>
          <w:szCs w:val="24"/>
        </w:rPr>
        <w:t>Paasche</w:t>
      </w:r>
      <w:proofErr w:type="spellEnd"/>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ind w:left="1416" w:firstLine="708"/>
        <w:jc w:val="both"/>
        <w:rPr>
          <w:rFonts w:ascii="AgeInTexNormal" w:hAnsi="AgeInTexNormal" w:cs="AgeInTexNormal"/>
          <w:sz w:val="24"/>
          <w:szCs w:val="24"/>
        </w:rPr>
      </w:pPr>
      <w:r w:rsidRPr="00AB07D2">
        <w:rPr>
          <w:rFonts w:ascii="VangRoman" w:hAnsi="VangRoman" w:cs="VangRoman"/>
          <w:position w:val="-64"/>
          <w:sz w:val="24"/>
          <w:szCs w:val="24"/>
        </w:rPr>
        <w:object w:dxaOrig="4080" w:dyaOrig="1440">
          <v:shape id="_x0000_i1027" type="#_x0000_t75" style="width:246.75pt;height:87pt" o:ole="">
            <v:imagedata r:id="rId9" o:title=""/>
          </v:shape>
          <o:OLEObject Type="Embed" ProgID="Equation.3" ShapeID="_x0000_i1027" DrawAspect="Content" ObjectID="_1333208818" r:id="rId10"/>
        </w:object>
      </w: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in cui i simboli hanno il significato usuale.</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Sarebbe possibile considerare anche gli altri due tipi di ponderazioni costituiti rispettivamente dai coefficienti (</w:t>
      </w:r>
      <w:r w:rsidRPr="00AB07D2">
        <w:rPr>
          <w:rFonts w:ascii="VangItalic" w:hAnsi="VangItalic" w:cs="VangItalic"/>
          <w:i/>
          <w:iCs/>
          <w:sz w:val="24"/>
          <w:szCs w:val="24"/>
        </w:rPr>
        <w:t>p</w:t>
      </w:r>
      <w:r w:rsidRPr="00AB07D2">
        <w:rPr>
          <w:rFonts w:ascii="VangRoman" w:hAnsi="VangRoman" w:cs="VangRoman"/>
          <w:sz w:val="24"/>
          <w:szCs w:val="24"/>
        </w:rPr>
        <w:t xml:space="preserve">1, </w:t>
      </w:r>
      <w:r w:rsidRPr="00AB07D2">
        <w:rPr>
          <w:rFonts w:ascii="VangItalic" w:hAnsi="VangItalic" w:cs="VangItalic"/>
          <w:i/>
          <w:iCs/>
          <w:sz w:val="24"/>
          <w:szCs w:val="24"/>
        </w:rPr>
        <w:t xml:space="preserve">j </w:t>
      </w:r>
      <w:r w:rsidRPr="00AB07D2">
        <w:rPr>
          <w:rFonts w:ascii="VangRoman" w:hAnsi="VangRoman" w:cs="VangRoman"/>
          <w:sz w:val="24"/>
          <w:szCs w:val="24"/>
        </w:rPr>
        <w:t xml:space="preserve">· </w:t>
      </w:r>
      <w:r w:rsidRPr="00AB07D2">
        <w:rPr>
          <w:rFonts w:ascii="VangItalic" w:hAnsi="VangItalic" w:cs="VangItalic"/>
          <w:i/>
          <w:iCs/>
          <w:sz w:val="24"/>
          <w:szCs w:val="24"/>
        </w:rPr>
        <w:t>q</w:t>
      </w:r>
      <w:r w:rsidRPr="00AB07D2">
        <w:rPr>
          <w:rFonts w:ascii="VangRoman" w:hAnsi="VangRoman" w:cs="VangRoman"/>
          <w:sz w:val="24"/>
          <w:szCs w:val="24"/>
        </w:rPr>
        <w:t xml:space="preserve">1, </w:t>
      </w:r>
      <w:r w:rsidRPr="00AB07D2">
        <w:rPr>
          <w:rFonts w:ascii="VangItalic" w:hAnsi="VangItalic" w:cs="VangItalic"/>
          <w:i/>
          <w:iCs/>
          <w:sz w:val="24"/>
          <w:szCs w:val="24"/>
        </w:rPr>
        <w:t>j</w:t>
      </w:r>
      <w:r w:rsidRPr="00AB07D2">
        <w:rPr>
          <w:rFonts w:ascii="VangRoman" w:hAnsi="VangRoman" w:cs="VangRoman"/>
          <w:sz w:val="24"/>
          <w:szCs w:val="24"/>
        </w:rPr>
        <w:t>) oppure (</w:t>
      </w:r>
      <w:r w:rsidRPr="00AB07D2">
        <w:rPr>
          <w:rFonts w:ascii="VangItalic" w:hAnsi="VangItalic" w:cs="VangItalic"/>
          <w:i/>
          <w:iCs/>
          <w:sz w:val="24"/>
          <w:szCs w:val="24"/>
        </w:rPr>
        <w:t>p</w:t>
      </w:r>
      <w:r w:rsidRPr="00AB07D2">
        <w:rPr>
          <w:rFonts w:ascii="VangRoman" w:hAnsi="VangRoman" w:cs="VangRoman"/>
          <w:sz w:val="24"/>
          <w:szCs w:val="24"/>
        </w:rPr>
        <w:t xml:space="preserve">1, </w:t>
      </w:r>
      <w:r w:rsidRPr="00AB07D2">
        <w:rPr>
          <w:rFonts w:ascii="VangItalic" w:hAnsi="VangItalic" w:cs="VangItalic"/>
          <w:i/>
          <w:iCs/>
          <w:sz w:val="24"/>
          <w:szCs w:val="24"/>
        </w:rPr>
        <w:t xml:space="preserve">j </w:t>
      </w:r>
      <w:r w:rsidRPr="00AB07D2">
        <w:rPr>
          <w:rFonts w:ascii="VangRoman" w:hAnsi="VangRoman" w:cs="VangRoman"/>
          <w:sz w:val="24"/>
          <w:szCs w:val="24"/>
        </w:rPr>
        <w:t xml:space="preserve">· </w:t>
      </w:r>
      <w:r w:rsidRPr="00AB07D2">
        <w:rPr>
          <w:rFonts w:ascii="VangItalic" w:hAnsi="VangItalic" w:cs="VangItalic"/>
          <w:i/>
          <w:iCs/>
          <w:sz w:val="24"/>
          <w:szCs w:val="24"/>
        </w:rPr>
        <w:t>q</w:t>
      </w:r>
      <w:r w:rsidRPr="00AB07D2">
        <w:rPr>
          <w:rFonts w:ascii="VangRoman" w:hAnsi="VangRoman" w:cs="VangRoman"/>
          <w:sz w:val="24"/>
          <w:szCs w:val="24"/>
        </w:rPr>
        <w:t xml:space="preserve">0, </w:t>
      </w:r>
      <w:r w:rsidRPr="00AB07D2">
        <w:rPr>
          <w:rFonts w:ascii="VangItalic" w:hAnsi="VangItalic" w:cs="VangItalic"/>
          <w:i/>
          <w:iCs/>
          <w:sz w:val="24"/>
          <w:szCs w:val="24"/>
        </w:rPr>
        <w:t>j</w:t>
      </w:r>
      <w:r w:rsidRPr="00AB07D2">
        <w:rPr>
          <w:rFonts w:ascii="VangRoman" w:hAnsi="VangRoman" w:cs="VangRoman"/>
          <w:sz w:val="24"/>
          <w:szCs w:val="24"/>
        </w:rPr>
        <w:t xml:space="preserve">). Focalizzeremo tuttavia l’attenzione sui due sistemi di ponderazione che portano alle formule di </w:t>
      </w:r>
      <w:proofErr w:type="spellStart"/>
      <w:r w:rsidRPr="00AB07D2">
        <w:rPr>
          <w:rFonts w:ascii="VangRoman" w:hAnsi="VangRoman" w:cs="VangRoman"/>
          <w:sz w:val="24"/>
          <w:szCs w:val="24"/>
        </w:rPr>
        <w:t>Laspeyres</w:t>
      </w:r>
      <w:proofErr w:type="spellEnd"/>
      <w:r w:rsidRPr="00AB07D2">
        <w:rPr>
          <w:rFonts w:ascii="VangRoman" w:hAnsi="VangRoman" w:cs="VangRoman"/>
          <w:sz w:val="24"/>
          <w:szCs w:val="24"/>
        </w:rPr>
        <w:t xml:space="preserve"> e di </w:t>
      </w:r>
      <w:proofErr w:type="spellStart"/>
      <w:r w:rsidRPr="00AB07D2">
        <w:rPr>
          <w:rFonts w:ascii="VangRoman" w:hAnsi="VangRoman" w:cs="VangRoman"/>
          <w:sz w:val="24"/>
          <w:szCs w:val="24"/>
        </w:rPr>
        <w:t>Paasche</w:t>
      </w:r>
      <w:proofErr w:type="spellEnd"/>
      <w:r w:rsidRPr="00AB07D2">
        <w:rPr>
          <w:rFonts w:ascii="VangRoman" w:hAnsi="VangRoman" w:cs="VangRoman"/>
          <w:sz w:val="24"/>
          <w:szCs w:val="24"/>
        </w:rPr>
        <w:t xml:space="preserve"> essendo quelle di più largo impiego. </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 xml:space="preserve">È anzitutto da osservare che i due metodi di ponderazione impiegati nell’indice di </w:t>
      </w:r>
      <w:proofErr w:type="spellStart"/>
      <w:r w:rsidRPr="00AB07D2">
        <w:rPr>
          <w:rFonts w:ascii="VangRoman" w:hAnsi="VangRoman" w:cs="VangRoman"/>
          <w:sz w:val="24"/>
          <w:szCs w:val="24"/>
        </w:rPr>
        <w:t>Laspeyres</w:t>
      </w:r>
      <w:proofErr w:type="spellEnd"/>
      <w:r w:rsidRPr="00AB07D2">
        <w:rPr>
          <w:rFonts w:ascii="VangRoman" w:hAnsi="VangRoman" w:cs="VangRoman"/>
          <w:sz w:val="24"/>
          <w:szCs w:val="24"/>
        </w:rPr>
        <w:t xml:space="preserve"> e in quello di </w:t>
      </w:r>
      <w:proofErr w:type="spellStart"/>
      <w:r w:rsidRPr="00AB07D2">
        <w:rPr>
          <w:rFonts w:ascii="VangRoman" w:hAnsi="VangRoman" w:cs="VangRoman"/>
          <w:sz w:val="24"/>
          <w:szCs w:val="24"/>
        </w:rPr>
        <w:t>Paasche</w:t>
      </w:r>
      <w:proofErr w:type="spellEnd"/>
      <w:r w:rsidRPr="00AB07D2">
        <w:rPr>
          <w:rFonts w:ascii="VangRoman" w:hAnsi="VangRoman" w:cs="VangRoman"/>
          <w:sz w:val="24"/>
          <w:szCs w:val="24"/>
        </w:rPr>
        <w:t xml:space="preserve"> portano a risultati diversi ossia a valori diversi dell’indice sintetico finale. Non esistono criteri unici o regole fisse per la scelta di uno o dell’altro. Può essere utile allora fare alcune considerazioni circa le differenze tra i due indici.</w:t>
      </w: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r w:rsidRPr="00AB07D2">
        <w:rPr>
          <w:rFonts w:ascii="AgeInTexNormal" w:hAnsi="AgeInTexNormal" w:cs="AgeInTexNormal"/>
          <w:b/>
          <w:sz w:val="24"/>
          <w:szCs w:val="24"/>
        </w:rPr>
        <w:t>Struttura dei consumi: stabile o variabile</w:t>
      </w: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lastRenderedPageBreak/>
        <w:t xml:space="preserve">L’impiego dell’indice di </w:t>
      </w:r>
      <w:proofErr w:type="spellStart"/>
      <w:r w:rsidRPr="00AB07D2">
        <w:rPr>
          <w:rFonts w:ascii="VangRoman" w:hAnsi="VangRoman" w:cs="VangRoman"/>
          <w:sz w:val="24"/>
          <w:szCs w:val="24"/>
        </w:rPr>
        <w:t>Laspeyres</w:t>
      </w:r>
      <w:proofErr w:type="spellEnd"/>
      <w:r w:rsidRPr="00AB07D2">
        <w:rPr>
          <w:rFonts w:ascii="VangRoman" w:hAnsi="VangRoman" w:cs="VangRoman"/>
          <w:sz w:val="24"/>
          <w:szCs w:val="24"/>
        </w:rPr>
        <w:t xml:space="preserve"> assume nel tipo di ponderazione impiegata una quantità </w:t>
      </w:r>
      <w:r w:rsidRPr="00AB07D2">
        <w:rPr>
          <w:rFonts w:ascii="AGaramondAge-Semibold" w:hAnsi="AGaramondAge-Semibold" w:cs="AGaramondAge-Semibold"/>
          <w:sz w:val="24"/>
          <w:szCs w:val="24"/>
        </w:rPr>
        <w:t xml:space="preserve">fissa </w:t>
      </w:r>
      <w:r w:rsidRPr="00AB07D2">
        <w:rPr>
          <w:rFonts w:ascii="VangRoman" w:hAnsi="VangRoman" w:cs="VangRoman"/>
          <w:sz w:val="24"/>
          <w:szCs w:val="24"/>
        </w:rPr>
        <w:t xml:space="preserve">consumata o scambiata nel tempo base mentre l’indice di </w:t>
      </w:r>
      <w:proofErr w:type="spellStart"/>
      <w:r w:rsidRPr="00AB07D2">
        <w:rPr>
          <w:rFonts w:ascii="VangRoman" w:hAnsi="VangRoman" w:cs="VangRoman"/>
          <w:sz w:val="24"/>
          <w:szCs w:val="24"/>
        </w:rPr>
        <w:t>Paasche</w:t>
      </w:r>
      <w:proofErr w:type="spellEnd"/>
      <w:r w:rsidRPr="00AB07D2">
        <w:rPr>
          <w:rFonts w:ascii="VangRoman" w:hAnsi="VangRoman" w:cs="VangRoman"/>
          <w:sz w:val="24"/>
          <w:szCs w:val="24"/>
        </w:rPr>
        <w:t xml:space="preserve"> assume una quantità </w:t>
      </w:r>
      <w:r w:rsidRPr="00AB07D2">
        <w:rPr>
          <w:rFonts w:ascii="AGaramondAge-Semibold" w:hAnsi="AGaramondAge-Semibold" w:cs="AGaramondAge-Semibold"/>
          <w:sz w:val="24"/>
          <w:szCs w:val="24"/>
        </w:rPr>
        <w:t>variabile</w:t>
      </w:r>
      <w:r w:rsidRPr="00AB07D2">
        <w:rPr>
          <w:rFonts w:ascii="VangRoman" w:hAnsi="VangRoman" w:cs="VangRoman"/>
          <w:sz w:val="24"/>
          <w:szCs w:val="24"/>
        </w:rPr>
        <w:t xml:space="preserve">. </w:t>
      </w:r>
    </w:p>
    <w:p w:rsidR="00B7534A" w:rsidRPr="007C019E" w:rsidRDefault="00B7534A" w:rsidP="00B7534A">
      <w:pPr>
        <w:pStyle w:val="Paragrafoelenco"/>
        <w:numPr>
          <w:ilvl w:val="0"/>
          <w:numId w:val="9"/>
        </w:numPr>
        <w:autoSpaceDE w:val="0"/>
        <w:autoSpaceDN w:val="0"/>
        <w:adjustRightInd w:val="0"/>
        <w:spacing w:after="0" w:line="240" w:lineRule="auto"/>
        <w:jc w:val="both"/>
        <w:rPr>
          <w:rFonts w:ascii="VangRoman" w:hAnsi="VangRoman" w:cs="VangRoman"/>
          <w:sz w:val="24"/>
          <w:szCs w:val="24"/>
        </w:rPr>
      </w:pPr>
      <w:r w:rsidRPr="007C019E">
        <w:rPr>
          <w:rFonts w:ascii="VangRoman" w:hAnsi="VangRoman" w:cs="VangRoman"/>
          <w:sz w:val="24"/>
          <w:szCs w:val="24"/>
        </w:rPr>
        <w:t xml:space="preserve">Se la </w:t>
      </w:r>
      <w:r w:rsidRPr="007C019E">
        <w:rPr>
          <w:rFonts w:ascii="AGaramondAge-Semibold" w:hAnsi="AGaramondAge-Semibold" w:cs="AGaramondAge-Semibold"/>
          <w:sz w:val="24"/>
          <w:szCs w:val="24"/>
        </w:rPr>
        <w:t xml:space="preserve">struttura dei consumi </w:t>
      </w:r>
      <w:r w:rsidRPr="007C019E">
        <w:rPr>
          <w:rFonts w:ascii="VangRoman" w:hAnsi="VangRoman" w:cs="VangRoman"/>
          <w:sz w:val="24"/>
          <w:szCs w:val="24"/>
        </w:rPr>
        <w:t xml:space="preserve">della collettività cui l’indice si riferisce è abbastanza stabile nel tempo, l’indice di </w:t>
      </w:r>
      <w:proofErr w:type="spellStart"/>
      <w:r w:rsidRPr="007C019E">
        <w:rPr>
          <w:rFonts w:ascii="VangRoman" w:hAnsi="VangRoman" w:cs="VangRoman"/>
          <w:sz w:val="24"/>
          <w:szCs w:val="24"/>
        </w:rPr>
        <w:t>Laspeyres</w:t>
      </w:r>
      <w:proofErr w:type="spellEnd"/>
      <w:r w:rsidRPr="007C019E">
        <w:rPr>
          <w:rFonts w:ascii="VangRoman" w:hAnsi="VangRoman" w:cs="VangRoman"/>
          <w:sz w:val="24"/>
          <w:szCs w:val="24"/>
        </w:rPr>
        <w:t xml:space="preserve"> sarà una misura significativa della variabilità dei prezzi subita dal paniere considerato rispetto all’anno base;</w:t>
      </w:r>
    </w:p>
    <w:p w:rsidR="00B7534A" w:rsidRDefault="00B7534A" w:rsidP="00B7534A">
      <w:pPr>
        <w:pStyle w:val="Paragrafoelenco"/>
        <w:numPr>
          <w:ilvl w:val="0"/>
          <w:numId w:val="9"/>
        </w:numPr>
        <w:autoSpaceDE w:val="0"/>
        <w:autoSpaceDN w:val="0"/>
        <w:adjustRightInd w:val="0"/>
        <w:spacing w:after="0" w:line="240" w:lineRule="auto"/>
        <w:jc w:val="both"/>
        <w:rPr>
          <w:rFonts w:ascii="VangRoman" w:hAnsi="VangRoman" w:cs="VangRoman"/>
          <w:sz w:val="24"/>
          <w:szCs w:val="24"/>
        </w:rPr>
      </w:pPr>
      <w:r w:rsidRPr="007C019E">
        <w:rPr>
          <w:rFonts w:ascii="VangRoman" w:hAnsi="VangRoman" w:cs="VangRoman"/>
          <w:sz w:val="24"/>
          <w:szCs w:val="24"/>
        </w:rPr>
        <w:t xml:space="preserve">se invece si può ipotizzare una struttura dei consumi molto elastica ossia in cui le variazioni nelle quantità consumate dei vari beni e servizi considerati variano significativamente nel tempo occorrerà assumere una ponderazione del tipo di quella impiegata nell’indice di </w:t>
      </w:r>
      <w:proofErr w:type="spellStart"/>
      <w:r w:rsidRPr="007C019E">
        <w:rPr>
          <w:rFonts w:ascii="VangRoman" w:hAnsi="VangRoman" w:cs="VangRoman"/>
          <w:sz w:val="24"/>
          <w:szCs w:val="24"/>
        </w:rPr>
        <w:t>Paasche</w:t>
      </w:r>
      <w:proofErr w:type="spellEnd"/>
      <w:r w:rsidRPr="007C019E">
        <w:rPr>
          <w:rFonts w:ascii="VangRoman" w:hAnsi="VangRoman" w:cs="VangRoman"/>
          <w:sz w:val="24"/>
          <w:szCs w:val="24"/>
        </w:rPr>
        <w:t>.</w:t>
      </w:r>
    </w:p>
    <w:p w:rsidR="00B7534A" w:rsidRDefault="00B7534A" w:rsidP="00B7534A">
      <w:pPr>
        <w:pStyle w:val="Paragrafoelenco"/>
        <w:autoSpaceDE w:val="0"/>
        <w:autoSpaceDN w:val="0"/>
        <w:adjustRightInd w:val="0"/>
        <w:spacing w:after="0" w:line="240" w:lineRule="auto"/>
        <w:jc w:val="both"/>
        <w:rPr>
          <w:rFonts w:ascii="VangRoman" w:hAnsi="VangRoman" w:cs="VangRoman"/>
          <w:sz w:val="24"/>
          <w:szCs w:val="24"/>
        </w:rPr>
      </w:pPr>
    </w:p>
    <w:p w:rsidR="00B7534A" w:rsidRPr="007C019E" w:rsidRDefault="00B7534A" w:rsidP="00B7534A">
      <w:pPr>
        <w:pStyle w:val="Paragrafoelenco"/>
        <w:numPr>
          <w:ilvl w:val="0"/>
          <w:numId w:val="9"/>
        </w:numPr>
        <w:autoSpaceDE w:val="0"/>
        <w:autoSpaceDN w:val="0"/>
        <w:adjustRightInd w:val="0"/>
        <w:spacing w:after="0" w:line="240" w:lineRule="auto"/>
        <w:jc w:val="both"/>
        <w:rPr>
          <w:rFonts w:ascii="VangRoman" w:hAnsi="VangRoman" w:cs="VangRoman"/>
          <w:sz w:val="24"/>
          <w:szCs w:val="24"/>
        </w:rPr>
      </w:pPr>
      <w:r w:rsidRPr="007C019E">
        <w:rPr>
          <w:rFonts w:ascii="VangRoman" w:hAnsi="VangRoman" w:cs="VangRoman"/>
          <w:sz w:val="24"/>
          <w:szCs w:val="24"/>
        </w:rPr>
        <w:t xml:space="preserve"> Occorre rilevare, tuttavia, che </w:t>
      </w:r>
      <w:r w:rsidRPr="007C019E">
        <w:rPr>
          <w:rFonts w:ascii="VangRoman" w:hAnsi="VangRoman" w:cs="VangRoman"/>
          <w:b/>
          <w:color w:val="548DD4" w:themeColor="text2" w:themeTint="99"/>
          <w:sz w:val="24"/>
          <w:szCs w:val="24"/>
        </w:rPr>
        <w:t xml:space="preserve">entrambi gli indici si riferiscono ad </w:t>
      </w:r>
      <w:r w:rsidRPr="007C019E">
        <w:rPr>
          <w:rFonts w:ascii="AGaramondAge-Semibold" w:hAnsi="AGaramondAge-Semibold" w:cs="AGaramondAge-Semibold"/>
          <w:b/>
          <w:color w:val="548DD4" w:themeColor="text2" w:themeTint="99"/>
          <w:sz w:val="24"/>
          <w:szCs w:val="24"/>
        </w:rPr>
        <w:t>uno stesso insieme di beni e servizi</w:t>
      </w:r>
      <w:r w:rsidRPr="007C019E">
        <w:rPr>
          <w:rFonts w:ascii="AGaramondAge-Semibold" w:hAnsi="AGaramondAge-Semibold" w:cs="AGaramondAge-Semibold"/>
          <w:sz w:val="24"/>
          <w:szCs w:val="24"/>
        </w:rPr>
        <w:t xml:space="preserve"> </w:t>
      </w:r>
      <w:r w:rsidRPr="007C019E">
        <w:rPr>
          <w:rFonts w:ascii="VangRoman" w:hAnsi="VangRoman" w:cs="VangRoman"/>
          <w:b/>
          <w:color w:val="FF0000"/>
          <w:sz w:val="24"/>
          <w:szCs w:val="24"/>
        </w:rPr>
        <w:t>la cui rappresentatività rispetto ai gusti, lo stile di vita, la quantità e qualità dei beni e servizi prodotti ogni anno e disponibili sul mercato, la moda e la pubblicità, può cambiare velocemente</w:t>
      </w:r>
      <w:r w:rsidRPr="007C019E">
        <w:rPr>
          <w:rFonts w:ascii="VangRoman" w:hAnsi="VangRoman" w:cs="VangRoman"/>
          <w:sz w:val="24"/>
          <w:szCs w:val="24"/>
        </w:rPr>
        <w:t xml:space="preserve">; ciò almeno per certe categorie di consumi (ad es. i beni e servizi vari) che possono mutare sia come tipo di beni e servizi che come prezzi. In altri termini </w:t>
      </w:r>
      <w:r w:rsidRPr="007C019E">
        <w:rPr>
          <w:rFonts w:ascii="VangRoman" w:hAnsi="VangRoman" w:cs="VangRoman"/>
          <w:b/>
          <w:color w:val="548DD4" w:themeColor="text2" w:themeTint="99"/>
          <w:sz w:val="24"/>
          <w:szCs w:val="24"/>
        </w:rPr>
        <w:t xml:space="preserve">l’indice di </w:t>
      </w:r>
      <w:proofErr w:type="spellStart"/>
      <w:r w:rsidRPr="007C019E">
        <w:rPr>
          <w:rFonts w:ascii="VangRoman" w:hAnsi="VangRoman" w:cs="VangRoman"/>
          <w:b/>
          <w:color w:val="548DD4" w:themeColor="text2" w:themeTint="99"/>
          <w:sz w:val="24"/>
          <w:szCs w:val="24"/>
        </w:rPr>
        <w:t>Paasche</w:t>
      </w:r>
      <w:proofErr w:type="spellEnd"/>
      <w:r w:rsidRPr="007C019E">
        <w:rPr>
          <w:rFonts w:ascii="VangRoman" w:hAnsi="VangRoman" w:cs="VangRoman"/>
          <w:sz w:val="24"/>
          <w:szCs w:val="24"/>
        </w:rPr>
        <w:t xml:space="preserve"> nella situazione ora ipotizzata </w:t>
      </w:r>
      <w:r w:rsidRPr="007C019E">
        <w:rPr>
          <w:rFonts w:ascii="VangRoman" w:hAnsi="VangRoman" w:cs="VangRoman"/>
          <w:b/>
          <w:color w:val="548DD4" w:themeColor="text2" w:themeTint="99"/>
          <w:sz w:val="24"/>
          <w:szCs w:val="24"/>
        </w:rPr>
        <w:t>“invecchierebbe meno rapidamente</w:t>
      </w:r>
      <w:r w:rsidRPr="007C019E">
        <w:rPr>
          <w:rFonts w:ascii="VangRoman" w:hAnsi="VangRoman" w:cs="VangRoman"/>
          <w:sz w:val="24"/>
          <w:szCs w:val="24"/>
        </w:rPr>
        <w:t xml:space="preserve"> ” dell’indice di </w:t>
      </w:r>
      <w:proofErr w:type="spellStart"/>
      <w:r w:rsidRPr="007C019E">
        <w:rPr>
          <w:rFonts w:ascii="VangRoman" w:hAnsi="VangRoman" w:cs="VangRoman"/>
          <w:sz w:val="24"/>
          <w:szCs w:val="24"/>
        </w:rPr>
        <w:t>Laspeyres</w:t>
      </w:r>
      <w:proofErr w:type="spellEnd"/>
      <w:r w:rsidRPr="007C019E">
        <w:rPr>
          <w:rFonts w:ascii="VangRoman" w:hAnsi="VangRoman" w:cs="VangRoman"/>
          <w:sz w:val="24"/>
          <w:szCs w:val="24"/>
        </w:rPr>
        <w:t xml:space="preserve"> ma perderebbe ugualmente di significatività col passare del tempo.</w:t>
      </w: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r w:rsidRPr="00AB07D2">
        <w:rPr>
          <w:rFonts w:ascii="AgeInTexNormal" w:hAnsi="AgeInTexNormal" w:cs="AgeInTexNormal"/>
          <w:b/>
          <w:sz w:val="24"/>
          <w:szCs w:val="24"/>
        </w:rPr>
        <w:t>Invecchiamento degli indici dei prezzi</w:t>
      </w: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 xml:space="preserve">È allora necessario per </w:t>
      </w:r>
      <w:r w:rsidRPr="007C019E">
        <w:rPr>
          <w:rFonts w:ascii="VangRoman" w:hAnsi="VangRoman" w:cs="VangRoman"/>
          <w:b/>
          <w:sz w:val="24"/>
          <w:szCs w:val="24"/>
        </w:rPr>
        <w:t>superare il problema dell’invecchiamento</w:t>
      </w:r>
      <w:r w:rsidRPr="00AB07D2">
        <w:rPr>
          <w:rFonts w:ascii="VangRoman" w:hAnsi="VangRoman" w:cs="VangRoman"/>
          <w:sz w:val="24"/>
          <w:szCs w:val="24"/>
        </w:rPr>
        <w:t xml:space="preserve"> degli indici </w:t>
      </w:r>
      <w:r w:rsidRPr="007C019E">
        <w:rPr>
          <w:rFonts w:ascii="AGaramondAge-Semibold" w:hAnsi="AGaramondAge-Semibold" w:cs="AGaramondAge-Semibold"/>
          <w:b/>
          <w:color w:val="FF0000"/>
          <w:sz w:val="24"/>
          <w:szCs w:val="24"/>
        </w:rPr>
        <w:t xml:space="preserve">cambiare </w:t>
      </w:r>
      <w:r w:rsidRPr="007C019E">
        <w:rPr>
          <w:rFonts w:ascii="VangRoman" w:hAnsi="VangRoman" w:cs="VangRoman"/>
          <w:b/>
          <w:color w:val="FF0000"/>
          <w:sz w:val="24"/>
          <w:szCs w:val="24"/>
        </w:rPr>
        <w:t xml:space="preserve">frequentemente </w:t>
      </w:r>
      <w:r w:rsidRPr="007C019E">
        <w:rPr>
          <w:rFonts w:ascii="AGaramondAge-Semibold" w:hAnsi="AGaramondAge-Semibold" w:cs="AGaramondAge-Semibold"/>
          <w:b/>
          <w:color w:val="FF0000"/>
          <w:sz w:val="24"/>
          <w:szCs w:val="24"/>
        </w:rPr>
        <w:t xml:space="preserve">la base </w:t>
      </w:r>
      <w:r w:rsidRPr="007C019E">
        <w:rPr>
          <w:rFonts w:ascii="VangRoman" w:hAnsi="VangRoman" w:cs="VangRoman"/>
          <w:b/>
          <w:color w:val="FF0000"/>
          <w:sz w:val="24"/>
          <w:szCs w:val="24"/>
        </w:rPr>
        <w:t>affinché il sistema di ponderazione impiegato</w:t>
      </w:r>
      <w:r w:rsidRPr="00AB07D2">
        <w:rPr>
          <w:rFonts w:ascii="VangRoman" w:hAnsi="VangRoman" w:cs="VangRoman"/>
          <w:sz w:val="24"/>
          <w:szCs w:val="24"/>
        </w:rPr>
        <w:t xml:space="preserve"> e i beni e servizi inclusi nel calcolo </w:t>
      </w:r>
      <w:r w:rsidRPr="007C019E">
        <w:rPr>
          <w:rFonts w:ascii="VangRoman" w:hAnsi="VangRoman" w:cs="VangRoman"/>
          <w:b/>
          <w:color w:val="FF0000"/>
          <w:sz w:val="24"/>
          <w:szCs w:val="24"/>
        </w:rPr>
        <w:t>siano quanto più possibile significativi</w:t>
      </w:r>
      <w:r w:rsidRPr="00AB07D2">
        <w:rPr>
          <w:rFonts w:ascii="VangRoman" w:hAnsi="VangRoman" w:cs="VangRoman"/>
          <w:sz w:val="24"/>
          <w:szCs w:val="24"/>
        </w:rPr>
        <w:t xml:space="preserve"> (rappresentativi) della struttura dei consumi della collettività considerata.</w:t>
      </w:r>
    </w:p>
    <w:p w:rsidR="00B7534A"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 xml:space="preserve">Nel cambiamento della base impiegata per la costruzione degli indici sintetici nuovi potranno essere inseriti nuovi beni e servizi ed eliminati altri il cui consumo ha perso significatività nel tempo, ossia variare la composizione del “paniere” di beni e servizi. </w:t>
      </w:r>
    </w:p>
    <w:p w:rsidR="00B7534A" w:rsidRDefault="00B7534A" w:rsidP="00B7534A">
      <w:pPr>
        <w:autoSpaceDE w:val="0"/>
        <w:autoSpaceDN w:val="0"/>
        <w:adjustRightInd w:val="0"/>
        <w:spacing w:after="0" w:line="240" w:lineRule="auto"/>
        <w:jc w:val="both"/>
        <w:rPr>
          <w:rFonts w:ascii="VangRoman" w:hAnsi="VangRoman" w:cs="VangRoman"/>
          <w:sz w:val="24"/>
          <w:szCs w:val="24"/>
        </w:rPr>
      </w:pPr>
      <w:r w:rsidRPr="007C019E">
        <w:rPr>
          <w:rFonts w:ascii="VangRoman" w:hAnsi="VangRoman" w:cs="VangRoman"/>
          <w:b/>
          <w:color w:val="548DD4" w:themeColor="text2" w:themeTint="99"/>
          <w:sz w:val="24"/>
          <w:szCs w:val="24"/>
        </w:rPr>
        <w:t>Ciò pone dal punto di vista statistico il problema della comparabilità delle nuove serie di indici con le vecchie</w:t>
      </w:r>
      <w:r w:rsidRPr="00AB07D2">
        <w:rPr>
          <w:rFonts w:ascii="VangRoman" w:hAnsi="VangRoman" w:cs="VangRoman"/>
          <w:sz w:val="24"/>
          <w:szCs w:val="24"/>
        </w:rPr>
        <w:t xml:space="preserve">. </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L’</w:t>
      </w:r>
      <w:proofErr w:type="spellStart"/>
      <w:r w:rsidRPr="00AB07D2">
        <w:rPr>
          <w:rFonts w:ascii="VangMatto" w:hAnsi="VangMatto" w:cs="VangMatto"/>
          <w:sz w:val="24"/>
          <w:szCs w:val="24"/>
        </w:rPr>
        <w:t>istat</w:t>
      </w:r>
      <w:proofErr w:type="spellEnd"/>
      <w:r w:rsidRPr="00AB07D2">
        <w:rPr>
          <w:rFonts w:ascii="VangMatto" w:hAnsi="VangMatto" w:cs="VangMatto"/>
          <w:sz w:val="24"/>
          <w:szCs w:val="24"/>
        </w:rPr>
        <w:t xml:space="preserve"> </w:t>
      </w:r>
      <w:r w:rsidRPr="00AB07D2">
        <w:rPr>
          <w:rFonts w:ascii="VangRoman" w:hAnsi="VangRoman" w:cs="VangRoman"/>
          <w:sz w:val="24"/>
          <w:szCs w:val="24"/>
        </w:rPr>
        <w:t xml:space="preserve">fornisce, ad esempio, dei </w:t>
      </w:r>
      <w:r w:rsidRPr="00AB07D2">
        <w:rPr>
          <w:rFonts w:ascii="AGaramondAge-Semibold" w:hAnsi="AGaramondAge-Semibold" w:cs="AGaramondAge-Semibold"/>
          <w:sz w:val="24"/>
          <w:szCs w:val="24"/>
        </w:rPr>
        <w:t xml:space="preserve">coefficienti di raccordo </w:t>
      </w:r>
      <w:r w:rsidRPr="00AB07D2">
        <w:rPr>
          <w:rFonts w:ascii="VangRoman" w:hAnsi="VangRoman" w:cs="VangRoman"/>
          <w:sz w:val="24"/>
          <w:szCs w:val="24"/>
        </w:rPr>
        <w:t>che consentono appunto di confrontare indici aventi base diversa.</w:t>
      </w: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foNormalMtto" w:hAnsi="AgeInfoNormalMtto" w:cs="AgeInfoNormalMtto"/>
          <w:b/>
          <w:sz w:val="24"/>
          <w:szCs w:val="24"/>
        </w:rPr>
      </w:pPr>
      <w:r w:rsidRPr="00AB07D2">
        <w:rPr>
          <w:rFonts w:ascii="AgeInTexNormal" w:hAnsi="AgeInTexNormal" w:cs="AgeInTexNormal"/>
          <w:b/>
          <w:sz w:val="24"/>
          <w:szCs w:val="24"/>
        </w:rPr>
        <w:t xml:space="preserve">La classificazione </w:t>
      </w:r>
      <w:proofErr w:type="spellStart"/>
      <w:r w:rsidRPr="00AB07D2">
        <w:rPr>
          <w:rFonts w:ascii="AgeInfoNormalMtto" w:hAnsi="AgeInfoNormalMtto" w:cs="AgeInfoNormalMtto"/>
          <w:b/>
          <w:sz w:val="24"/>
          <w:szCs w:val="24"/>
        </w:rPr>
        <w:t>coicop</w:t>
      </w:r>
      <w:proofErr w:type="spellEnd"/>
    </w:p>
    <w:p w:rsidR="00B7534A" w:rsidRPr="00AB07D2" w:rsidRDefault="00B7534A" w:rsidP="00B7534A">
      <w:pPr>
        <w:autoSpaceDE w:val="0"/>
        <w:autoSpaceDN w:val="0"/>
        <w:adjustRightInd w:val="0"/>
        <w:spacing w:after="0" w:line="240" w:lineRule="auto"/>
        <w:jc w:val="both"/>
        <w:rPr>
          <w:rFonts w:ascii="AgeInfoNormalMtto" w:hAnsi="AgeInfoNormalMtto" w:cs="AgeInfoNormalMtto"/>
          <w:b/>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7C019E">
        <w:rPr>
          <w:rFonts w:ascii="VangRoman" w:hAnsi="VangRoman" w:cs="VangRoman"/>
          <w:b/>
          <w:color w:val="FF0000"/>
          <w:sz w:val="24"/>
          <w:szCs w:val="24"/>
        </w:rPr>
        <w:t>Circa la comparabilità degli indici</w:t>
      </w:r>
      <w:r w:rsidRPr="00AB07D2">
        <w:rPr>
          <w:rFonts w:ascii="VangRoman" w:hAnsi="VangRoman" w:cs="VangRoman"/>
          <w:sz w:val="24"/>
          <w:szCs w:val="24"/>
        </w:rPr>
        <w:t xml:space="preserve"> si rileva che </w:t>
      </w:r>
      <w:r w:rsidRPr="007C019E">
        <w:rPr>
          <w:rFonts w:ascii="VangRoman" w:hAnsi="VangRoman" w:cs="VangRoman"/>
          <w:b/>
          <w:color w:val="548DD4" w:themeColor="text2" w:themeTint="99"/>
          <w:sz w:val="24"/>
          <w:szCs w:val="24"/>
        </w:rPr>
        <w:t>l’adozione di nomenclature standardizzate dei prodotti,</w:t>
      </w:r>
      <w:r w:rsidRPr="00AB07D2">
        <w:rPr>
          <w:rFonts w:ascii="VangRoman" w:hAnsi="VangRoman" w:cs="VangRoman"/>
          <w:sz w:val="24"/>
          <w:szCs w:val="24"/>
        </w:rPr>
        <w:t xml:space="preserve"> come ad esempio quella </w:t>
      </w:r>
      <w:r w:rsidRPr="007C019E">
        <w:rPr>
          <w:rFonts w:ascii="VangMatto" w:hAnsi="VangMatto" w:cs="VangMatto"/>
          <w:b/>
          <w:sz w:val="24"/>
          <w:szCs w:val="24"/>
        </w:rPr>
        <w:t>coicop</w:t>
      </w:r>
      <w:r w:rsidRPr="007C019E">
        <w:rPr>
          <w:rFonts w:ascii="VangRoman" w:hAnsi="VangRoman" w:cs="VangRoman"/>
          <w:b/>
          <w:sz w:val="24"/>
          <w:szCs w:val="24"/>
        </w:rPr>
        <w:t>95</w:t>
      </w:r>
      <w:r w:rsidRPr="00AB07D2">
        <w:rPr>
          <w:rFonts w:ascii="VangRoman" w:hAnsi="VangRoman" w:cs="VangRoman"/>
          <w:sz w:val="24"/>
          <w:szCs w:val="24"/>
        </w:rPr>
        <w:t xml:space="preserve"> (</w:t>
      </w:r>
      <w:proofErr w:type="spellStart"/>
      <w:r w:rsidRPr="00AB07D2">
        <w:rPr>
          <w:rFonts w:ascii="VangItalic" w:hAnsi="VangItalic" w:cs="VangItalic"/>
          <w:i/>
          <w:iCs/>
          <w:sz w:val="24"/>
          <w:szCs w:val="24"/>
        </w:rPr>
        <w:t>Classification</w:t>
      </w:r>
      <w:proofErr w:type="spellEnd"/>
      <w:r w:rsidRPr="00AB07D2">
        <w:rPr>
          <w:rFonts w:ascii="VangItalic" w:hAnsi="VangItalic" w:cs="VangItalic"/>
          <w:i/>
          <w:iCs/>
          <w:sz w:val="24"/>
          <w:szCs w:val="24"/>
        </w:rPr>
        <w:t xml:space="preserve"> </w:t>
      </w:r>
      <w:proofErr w:type="spellStart"/>
      <w:r w:rsidRPr="00AB07D2">
        <w:rPr>
          <w:rFonts w:ascii="VangItalic" w:hAnsi="VangItalic" w:cs="VangItalic"/>
          <w:i/>
          <w:iCs/>
          <w:sz w:val="24"/>
          <w:szCs w:val="24"/>
        </w:rPr>
        <w:t>of</w:t>
      </w:r>
      <w:proofErr w:type="spellEnd"/>
      <w:r w:rsidRPr="00AB07D2">
        <w:rPr>
          <w:rFonts w:ascii="VangItalic" w:hAnsi="VangItalic" w:cs="VangItalic"/>
          <w:i/>
          <w:iCs/>
          <w:sz w:val="24"/>
          <w:szCs w:val="24"/>
        </w:rPr>
        <w:t xml:space="preserve"> </w:t>
      </w:r>
      <w:proofErr w:type="spellStart"/>
      <w:r w:rsidRPr="00AB07D2">
        <w:rPr>
          <w:rFonts w:ascii="VangItalic" w:hAnsi="VangItalic" w:cs="VangItalic"/>
          <w:i/>
          <w:iCs/>
          <w:sz w:val="24"/>
          <w:szCs w:val="24"/>
        </w:rPr>
        <w:t>Individual</w:t>
      </w:r>
      <w:proofErr w:type="spellEnd"/>
      <w:r w:rsidRPr="00AB07D2">
        <w:rPr>
          <w:rFonts w:ascii="VangItalic" w:hAnsi="VangItalic" w:cs="VangItalic"/>
          <w:i/>
          <w:iCs/>
          <w:sz w:val="24"/>
          <w:szCs w:val="24"/>
        </w:rPr>
        <w:t xml:space="preserve"> </w:t>
      </w:r>
      <w:proofErr w:type="spellStart"/>
      <w:r w:rsidRPr="00AB07D2">
        <w:rPr>
          <w:rFonts w:ascii="VangItalic" w:hAnsi="VangItalic" w:cs="VangItalic"/>
          <w:i/>
          <w:iCs/>
          <w:sz w:val="24"/>
          <w:szCs w:val="24"/>
        </w:rPr>
        <w:t>Consumption</w:t>
      </w:r>
      <w:proofErr w:type="spellEnd"/>
      <w:r w:rsidRPr="00AB07D2">
        <w:rPr>
          <w:rFonts w:ascii="VangItalic" w:hAnsi="VangItalic" w:cs="VangItalic"/>
          <w:i/>
          <w:iCs/>
          <w:sz w:val="24"/>
          <w:szCs w:val="24"/>
        </w:rPr>
        <w:t xml:space="preserve"> </w:t>
      </w:r>
      <w:proofErr w:type="spellStart"/>
      <w:r w:rsidRPr="00AB07D2">
        <w:rPr>
          <w:rFonts w:ascii="VangItalic" w:hAnsi="VangItalic" w:cs="VangItalic"/>
          <w:i/>
          <w:iCs/>
          <w:sz w:val="24"/>
          <w:szCs w:val="24"/>
        </w:rPr>
        <w:t>by</w:t>
      </w:r>
      <w:proofErr w:type="spellEnd"/>
      <w:r w:rsidRPr="00AB07D2">
        <w:rPr>
          <w:rFonts w:ascii="VangItalic" w:hAnsi="VangItalic" w:cs="VangItalic"/>
          <w:i/>
          <w:iCs/>
          <w:sz w:val="24"/>
          <w:szCs w:val="24"/>
        </w:rPr>
        <w:t xml:space="preserve"> </w:t>
      </w:r>
      <w:proofErr w:type="spellStart"/>
      <w:r w:rsidRPr="00AB07D2">
        <w:rPr>
          <w:rFonts w:ascii="VangItalic" w:hAnsi="VangItalic" w:cs="VangItalic"/>
          <w:i/>
          <w:iCs/>
          <w:sz w:val="24"/>
          <w:szCs w:val="24"/>
        </w:rPr>
        <w:t>Purpose</w:t>
      </w:r>
      <w:proofErr w:type="spellEnd"/>
      <w:r w:rsidRPr="00AB07D2">
        <w:rPr>
          <w:rFonts w:ascii="VangRoman" w:hAnsi="VangRoman" w:cs="VangRoman"/>
          <w:sz w:val="24"/>
          <w:szCs w:val="24"/>
        </w:rPr>
        <w:t>) impiegata dall’</w:t>
      </w:r>
      <w:proofErr w:type="spellStart"/>
      <w:r w:rsidRPr="00AB07D2">
        <w:rPr>
          <w:rFonts w:ascii="VangMatto" w:hAnsi="VangMatto" w:cs="VangMatto"/>
          <w:sz w:val="24"/>
          <w:szCs w:val="24"/>
        </w:rPr>
        <w:t>istat</w:t>
      </w:r>
      <w:proofErr w:type="spellEnd"/>
      <w:r w:rsidRPr="00AB07D2">
        <w:rPr>
          <w:rFonts w:ascii="VangMatto" w:hAnsi="VangMatto" w:cs="VangMatto"/>
          <w:sz w:val="24"/>
          <w:szCs w:val="24"/>
        </w:rPr>
        <w:t xml:space="preserve"> </w:t>
      </w:r>
      <w:r w:rsidRPr="00AB07D2">
        <w:rPr>
          <w:rFonts w:ascii="VangRoman" w:hAnsi="VangRoman" w:cs="VangRoman"/>
          <w:sz w:val="24"/>
          <w:szCs w:val="24"/>
        </w:rPr>
        <w:t xml:space="preserve">e adottata dai paesi della Comunità europea, </w:t>
      </w:r>
      <w:r w:rsidRPr="007C019E">
        <w:rPr>
          <w:rFonts w:ascii="VangRoman" w:hAnsi="VangRoman" w:cs="VangRoman"/>
          <w:b/>
          <w:color w:val="548DD4" w:themeColor="text2" w:themeTint="99"/>
          <w:sz w:val="24"/>
          <w:szCs w:val="24"/>
        </w:rPr>
        <w:t>assicura la comparabilità nel tempo e nello spazio</w:t>
      </w:r>
      <w:r w:rsidRPr="00AB07D2">
        <w:rPr>
          <w:rFonts w:ascii="VangRoman" w:hAnsi="VangRoman" w:cs="VangRoman"/>
          <w:sz w:val="24"/>
          <w:szCs w:val="24"/>
        </w:rPr>
        <w:t xml:space="preserve"> delle varietà e qualità dei beni e servizi considerati nel computo degli indici.</w:t>
      </w: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sz w:val="24"/>
          <w:szCs w:val="24"/>
        </w:rPr>
      </w:pPr>
    </w:p>
    <w:p w:rsidR="00231C6E" w:rsidRPr="00AB07D2" w:rsidRDefault="00231C6E"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r w:rsidRPr="00AB07D2">
        <w:rPr>
          <w:rFonts w:ascii="AgeInTexNormal" w:hAnsi="AgeInTexNormal" w:cs="AgeInTexNormal"/>
          <w:b/>
          <w:sz w:val="24"/>
          <w:szCs w:val="24"/>
        </w:rPr>
        <w:t>Il paniere dei beni e servizi</w:t>
      </w: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 xml:space="preserve">In relazione a quanto ora detto tra i problemi più delicati nella costruzione di un indice sintetico dei prezzi vi è quello della </w:t>
      </w:r>
      <w:r w:rsidRPr="00AB07D2">
        <w:rPr>
          <w:rFonts w:ascii="VangItalic" w:hAnsi="VangItalic" w:cs="VangItalic"/>
          <w:i/>
          <w:iCs/>
          <w:sz w:val="24"/>
          <w:szCs w:val="24"/>
        </w:rPr>
        <w:t xml:space="preserve">scelta del numero e tipo di beni e servizi </w:t>
      </w:r>
      <w:r w:rsidRPr="00AB07D2">
        <w:rPr>
          <w:rFonts w:ascii="VangRoman" w:hAnsi="VangRoman" w:cs="VangRoman"/>
          <w:sz w:val="24"/>
          <w:szCs w:val="24"/>
        </w:rPr>
        <w:t xml:space="preserve">da includere nel computo affinché essi siano rappresentativi nello spazio e col passare del tempo della struttura dei consumi della collettività di riferimento, dei suoi gusti, comportamenti di consumo, stile di vita, soprattutto in contesti industriali avanzati ad alto impiego della tecnologia, come è il nostro, in cui i mutamenti sociali sono più veloci che nel passato. Assumono allora in tale contesto particolare rilievo gli studi statistici tendenti a rilevare tipologie di comportamento degli individui non più riferite al solo aspetto monetario (consumi) ma più in generale di comportamento quotidiano nel senso del modo di vivere, delle abitudini di vita, stili di vita ecc. che possono fornire ulteriori elementi utili, e in tempi brevi, sulle differenze e i </w:t>
      </w:r>
      <w:r w:rsidRPr="00AB07D2">
        <w:rPr>
          <w:rFonts w:ascii="AGaramondAge-Semibold" w:hAnsi="AGaramondAge-Semibold" w:cs="AGaramondAge-Semibold"/>
          <w:sz w:val="24"/>
          <w:szCs w:val="24"/>
        </w:rPr>
        <w:t>mutamenti sociali</w:t>
      </w:r>
      <w:r w:rsidRPr="00AB07D2">
        <w:rPr>
          <w:rFonts w:ascii="VangRoman" w:hAnsi="VangRoman" w:cs="VangRoman"/>
          <w:sz w:val="24"/>
          <w:szCs w:val="24"/>
        </w:rPr>
        <w:t>. Già il contributo delle indagini campionarie effettuate periodicamente dall’</w:t>
      </w:r>
      <w:proofErr w:type="spellStart"/>
      <w:r w:rsidRPr="00AB07D2">
        <w:rPr>
          <w:rFonts w:ascii="VangMatto" w:hAnsi="VangMatto" w:cs="VangMatto"/>
          <w:sz w:val="24"/>
          <w:szCs w:val="24"/>
        </w:rPr>
        <w:t>istat</w:t>
      </w:r>
      <w:proofErr w:type="spellEnd"/>
      <w:r w:rsidRPr="00AB07D2">
        <w:rPr>
          <w:rFonts w:ascii="VangMatto" w:hAnsi="VangMatto" w:cs="VangMatto"/>
          <w:sz w:val="24"/>
          <w:szCs w:val="24"/>
        </w:rPr>
        <w:t xml:space="preserve"> </w:t>
      </w:r>
      <w:r w:rsidRPr="00AB07D2">
        <w:rPr>
          <w:rFonts w:ascii="VangRoman" w:hAnsi="VangRoman" w:cs="VangRoman"/>
          <w:sz w:val="24"/>
          <w:szCs w:val="24"/>
        </w:rPr>
        <w:t xml:space="preserve">sui consumi delle famiglie ha costituito una svolta importante nella migliore definizione della struttura dei consumi delle famiglie italiane; esse hanno contribuito infatti a modificare il paniere dei beni e i coefficienti di ponderazione precedentemente impiegati per il calcolo degli indici dei prezzi al consumo, nonché ai successivi aggiornamenti. Tra gli studi utili a fornire informazioni sul modo di vivere e gli stili di vita delle diverse categorie di popolazione, particolare interesse hanno gli studi statistici sui </w:t>
      </w:r>
      <w:r w:rsidRPr="00AB07D2">
        <w:rPr>
          <w:rFonts w:ascii="VangItalic" w:hAnsi="VangItalic" w:cs="VangItalic"/>
          <w:i/>
          <w:iCs/>
          <w:sz w:val="24"/>
          <w:szCs w:val="24"/>
        </w:rPr>
        <w:t xml:space="preserve">Bilanci del tempo </w:t>
      </w:r>
      <w:r w:rsidRPr="00AB07D2">
        <w:rPr>
          <w:rFonts w:ascii="VangRoman" w:hAnsi="VangRoman" w:cs="VangRoman"/>
          <w:sz w:val="24"/>
          <w:szCs w:val="24"/>
        </w:rPr>
        <w:t>(</w:t>
      </w:r>
      <w:proofErr w:type="spellStart"/>
      <w:r w:rsidRPr="00AB07D2">
        <w:rPr>
          <w:rFonts w:ascii="VangItalic" w:hAnsi="VangItalic" w:cs="VangItalic"/>
          <w:i/>
          <w:iCs/>
          <w:sz w:val="24"/>
          <w:szCs w:val="24"/>
        </w:rPr>
        <w:t>time-budget</w:t>
      </w:r>
      <w:proofErr w:type="spellEnd"/>
      <w:r w:rsidRPr="00AB07D2">
        <w:rPr>
          <w:rFonts w:ascii="VangItalic" w:hAnsi="VangItalic" w:cs="VangItalic"/>
          <w:i/>
          <w:iCs/>
          <w:sz w:val="24"/>
          <w:szCs w:val="24"/>
        </w:rPr>
        <w:t xml:space="preserve"> </w:t>
      </w:r>
      <w:proofErr w:type="spellStart"/>
      <w:r w:rsidRPr="00AB07D2">
        <w:rPr>
          <w:rFonts w:ascii="VangItalic" w:hAnsi="VangItalic" w:cs="VangItalic"/>
          <w:i/>
          <w:iCs/>
          <w:sz w:val="24"/>
          <w:szCs w:val="24"/>
        </w:rPr>
        <w:t>studies</w:t>
      </w:r>
      <w:proofErr w:type="spellEnd"/>
      <w:r w:rsidRPr="00AB07D2">
        <w:rPr>
          <w:rFonts w:ascii="VangRoman" w:hAnsi="VangRoman" w:cs="VangRoman"/>
          <w:sz w:val="24"/>
          <w:szCs w:val="24"/>
        </w:rPr>
        <w:t>) e le indagini sull’uso del tempo (</w:t>
      </w:r>
      <w:proofErr w:type="spellStart"/>
      <w:r w:rsidRPr="00AB07D2">
        <w:rPr>
          <w:rFonts w:ascii="VangItalic" w:hAnsi="VangItalic" w:cs="VangItalic"/>
          <w:i/>
          <w:iCs/>
          <w:sz w:val="24"/>
          <w:szCs w:val="24"/>
        </w:rPr>
        <w:t>time-use</w:t>
      </w:r>
      <w:proofErr w:type="spellEnd"/>
      <w:r w:rsidRPr="00AB07D2">
        <w:rPr>
          <w:rFonts w:ascii="VangItalic" w:hAnsi="VangItalic" w:cs="VangItalic"/>
          <w:i/>
          <w:iCs/>
          <w:sz w:val="24"/>
          <w:szCs w:val="24"/>
        </w:rPr>
        <w:t xml:space="preserve"> </w:t>
      </w:r>
      <w:proofErr w:type="spellStart"/>
      <w:r w:rsidRPr="00AB07D2">
        <w:rPr>
          <w:rFonts w:ascii="VangItalic" w:hAnsi="VangItalic" w:cs="VangItalic"/>
          <w:i/>
          <w:iCs/>
          <w:sz w:val="24"/>
          <w:szCs w:val="24"/>
        </w:rPr>
        <w:t>surveys</w:t>
      </w:r>
      <w:proofErr w:type="spellEnd"/>
      <w:r w:rsidRPr="00AB07D2">
        <w:rPr>
          <w:rFonts w:ascii="VangRoman" w:hAnsi="VangRoman" w:cs="VangRoman"/>
          <w:sz w:val="24"/>
          <w:szCs w:val="24"/>
        </w:rPr>
        <w:t>) ormai rilevati in molti paesi ed inseriti nelle pubblicazioni periodiche degli istituti nazionali di statistica.</w:t>
      </w: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r w:rsidRPr="00AB07D2">
        <w:rPr>
          <w:rFonts w:ascii="AgeInTexNormal" w:hAnsi="AgeInTexNormal" w:cs="AgeInTexNormal"/>
          <w:b/>
          <w:sz w:val="24"/>
          <w:szCs w:val="24"/>
        </w:rPr>
        <w:lastRenderedPageBreak/>
        <w:t>Bilanci di famiglia e bilanci del tempo</w:t>
      </w: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 xml:space="preserve">È stato provato che il problema della rappresentatività degli indici dei prezzi rispetto alla struttura dei consumi non è superabile se viene aumentato il numero di beni e servizi in esso inclusi poiché, essendo impossibile in pratica considerarli tutti, esiste il problema di definire una </w:t>
      </w:r>
      <w:r w:rsidRPr="00AB07D2">
        <w:rPr>
          <w:rFonts w:ascii="AGaramondAge-Semibold" w:hAnsi="AGaramondAge-Semibold" w:cs="AGaramondAge-Semibold"/>
          <w:sz w:val="24"/>
          <w:szCs w:val="24"/>
        </w:rPr>
        <w:t xml:space="preserve">tipologia sostanziale </w:t>
      </w:r>
      <w:r w:rsidRPr="00AB07D2">
        <w:rPr>
          <w:rFonts w:ascii="VangRoman" w:hAnsi="VangRoman" w:cs="VangRoman"/>
          <w:sz w:val="24"/>
          <w:szCs w:val="24"/>
        </w:rPr>
        <w:t>e non solo formale dei beni e servizi da inserire nel computo.</w:t>
      </w:r>
    </w:p>
    <w:p w:rsidR="00B7534A"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33A18" w:rsidRDefault="00B7534A" w:rsidP="00B7534A">
      <w:pPr>
        <w:autoSpaceDE w:val="0"/>
        <w:autoSpaceDN w:val="0"/>
        <w:adjustRightInd w:val="0"/>
        <w:spacing w:after="0" w:line="240" w:lineRule="auto"/>
        <w:jc w:val="both"/>
        <w:rPr>
          <w:rFonts w:ascii="VangRoman" w:hAnsi="VangRoman" w:cs="VangRoman"/>
          <w:b/>
          <w:color w:val="FF0000"/>
          <w:sz w:val="24"/>
          <w:szCs w:val="24"/>
        </w:rPr>
      </w:pPr>
      <w:r w:rsidRPr="00AB07D2">
        <w:rPr>
          <w:rFonts w:ascii="VangRoman" w:hAnsi="VangRoman" w:cs="VangRoman"/>
          <w:sz w:val="24"/>
          <w:szCs w:val="24"/>
        </w:rPr>
        <w:t xml:space="preserve">Tornando alle differenze tra i due indici sintetici di </w:t>
      </w:r>
      <w:proofErr w:type="spellStart"/>
      <w:r w:rsidRPr="00AB07D2">
        <w:rPr>
          <w:rFonts w:ascii="VangRoman" w:hAnsi="VangRoman" w:cs="VangRoman"/>
          <w:sz w:val="24"/>
          <w:szCs w:val="24"/>
        </w:rPr>
        <w:t>Laspeyres</w:t>
      </w:r>
      <w:proofErr w:type="spellEnd"/>
      <w:r w:rsidRPr="00AB07D2">
        <w:rPr>
          <w:rFonts w:ascii="VangRoman" w:hAnsi="VangRoman" w:cs="VangRoman"/>
          <w:sz w:val="24"/>
          <w:szCs w:val="24"/>
        </w:rPr>
        <w:t xml:space="preserve"> e </w:t>
      </w:r>
      <w:proofErr w:type="spellStart"/>
      <w:r w:rsidRPr="00AB07D2">
        <w:rPr>
          <w:rFonts w:ascii="VangRoman" w:hAnsi="VangRoman" w:cs="VangRoman"/>
          <w:sz w:val="24"/>
          <w:szCs w:val="24"/>
        </w:rPr>
        <w:t>Paasche</w:t>
      </w:r>
      <w:proofErr w:type="spellEnd"/>
      <w:r w:rsidRPr="00AB07D2">
        <w:rPr>
          <w:rFonts w:ascii="VangRoman" w:hAnsi="VangRoman" w:cs="VangRoman"/>
          <w:sz w:val="24"/>
          <w:szCs w:val="24"/>
        </w:rPr>
        <w:t xml:space="preserve">, il primo presenta una tendenziosità positiva rispetto alla ponderazione impiegata nel secondo; </w:t>
      </w:r>
      <w:r w:rsidRPr="00A33A18">
        <w:rPr>
          <w:rFonts w:ascii="VangRoman" w:hAnsi="VangRoman" w:cs="VangRoman"/>
          <w:b/>
          <w:color w:val="FF0000"/>
          <w:sz w:val="24"/>
          <w:szCs w:val="24"/>
        </w:rPr>
        <w:t xml:space="preserve">in altri termini nell’indice di </w:t>
      </w:r>
      <w:proofErr w:type="spellStart"/>
      <w:r w:rsidRPr="00A33A18">
        <w:rPr>
          <w:rFonts w:ascii="VangRoman" w:hAnsi="VangRoman" w:cs="VangRoman"/>
          <w:b/>
          <w:color w:val="FF0000"/>
          <w:sz w:val="24"/>
          <w:szCs w:val="24"/>
        </w:rPr>
        <w:t>Laspeyres</w:t>
      </w:r>
      <w:proofErr w:type="spellEnd"/>
      <w:r w:rsidRPr="00A33A18">
        <w:rPr>
          <w:rFonts w:ascii="VangRoman" w:hAnsi="VangRoman" w:cs="VangRoman"/>
          <w:b/>
          <w:color w:val="FF0000"/>
          <w:sz w:val="24"/>
          <w:szCs w:val="24"/>
        </w:rPr>
        <w:t xml:space="preserve"> gli aumenti dei prezzi sono sopravvalutati</w:t>
      </w:r>
      <w:r w:rsidRPr="00AB07D2">
        <w:rPr>
          <w:rFonts w:ascii="VangRoman" w:hAnsi="VangRoman" w:cs="VangRoman"/>
          <w:sz w:val="24"/>
          <w:szCs w:val="24"/>
        </w:rPr>
        <w:t xml:space="preserve"> mentre </w:t>
      </w:r>
      <w:r w:rsidRPr="00A33A18">
        <w:rPr>
          <w:rFonts w:ascii="VangRoman" w:hAnsi="VangRoman" w:cs="VangRoman"/>
          <w:b/>
          <w:color w:val="FF0000"/>
          <w:sz w:val="24"/>
          <w:szCs w:val="24"/>
        </w:rPr>
        <w:t>le diminuzioni sono sottovalutate.</w:t>
      </w:r>
    </w:p>
    <w:p w:rsidR="00B7534A"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 xml:space="preserve">Infatti poiché tra quantità e prezzi esiste una relazione inversa (all’aumentare dei prezzi la quantità domandata diminuisce) si può prevedere che se </w:t>
      </w:r>
      <w:r w:rsidRPr="00AB07D2">
        <w:rPr>
          <w:rFonts w:ascii="VangItalic" w:hAnsi="VangItalic" w:cs="VangItalic"/>
          <w:i/>
          <w:iCs/>
          <w:sz w:val="24"/>
          <w:szCs w:val="24"/>
        </w:rPr>
        <w:t>p</w:t>
      </w:r>
      <w:r w:rsidRPr="00AB07D2">
        <w:rPr>
          <w:rFonts w:ascii="VangRoman" w:hAnsi="VangRoman" w:cs="VangRoman"/>
          <w:sz w:val="24"/>
          <w:szCs w:val="24"/>
        </w:rPr>
        <w:t xml:space="preserve">1, </w:t>
      </w:r>
      <w:r w:rsidRPr="00AB07D2">
        <w:rPr>
          <w:rFonts w:ascii="VangItalic" w:hAnsi="VangItalic" w:cs="VangItalic"/>
          <w:i/>
          <w:iCs/>
          <w:sz w:val="24"/>
          <w:szCs w:val="24"/>
        </w:rPr>
        <w:t xml:space="preserve">j </w:t>
      </w:r>
      <w:r w:rsidRPr="00AB07D2">
        <w:rPr>
          <w:rFonts w:ascii="VangRoman" w:hAnsi="VangRoman" w:cs="VangRoman"/>
          <w:sz w:val="24"/>
          <w:szCs w:val="24"/>
        </w:rPr>
        <w:t xml:space="preserve">&gt; </w:t>
      </w:r>
      <w:r w:rsidRPr="00AB07D2">
        <w:rPr>
          <w:rFonts w:ascii="VangItalic" w:hAnsi="VangItalic" w:cs="VangItalic"/>
          <w:i/>
          <w:iCs/>
          <w:sz w:val="24"/>
          <w:szCs w:val="24"/>
        </w:rPr>
        <w:t>p</w:t>
      </w:r>
      <w:r w:rsidRPr="00AB07D2">
        <w:rPr>
          <w:rFonts w:ascii="VangRoman" w:hAnsi="VangRoman" w:cs="VangRoman"/>
          <w:sz w:val="24"/>
          <w:szCs w:val="24"/>
        </w:rPr>
        <w:t xml:space="preserve">0, </w:t>
      </w:r>
      <w:r w:rsidRPr="00AB07D2">
        <w:rPr>
          <w:rFonts w:ascii="VangItalic" w:hAnsi="VangItalic" w:cs="VangItalic"/>
          <w:i/>
          <w:iCs/>
          <w:sz w:val="24"/>
          <w:szCs w:val="24"/>
        </w:rPr>
        <w:t xml:space="preserve">j </w:t>
      </w:r>
      <w:r w:rsidRPr="00AB07D2">
        <w:rPr>
          <w:rFonts w:ascii="VangRoman" w:hAnsi="VangRoman" w:cs="VangRoman"/>
          <w:sz w:val="24"/>
          <w:szCs w:val="24"/>
        </w:rPr>
        <w:t xml:space="preserve">sarà </w:t>
      </w:r>
      <w:r w:rsidRPr="00AB07D2">
        <w:rPr>
          <w:rFonts w:ascii="VangItalic" w:hAnsi="VangItalic" w:cs="VangItalic"/>
          <w:i/>
          <w:iCs/>
          <w:sz w:val="24"/>
          <w:szCs w:val="24"/>
        </w:rPr>
        <w:t>q</w:t>
      </w:r>
      <w:r w:rsidRPr="00AB07D2">
        <w:rPr>
          <w:rFonts w:ascii="VangRoman" w:hAnsi="VangRoman" w:cs="VangRoman"/>
          <w:sz w:val="24"/>
          <w:szCs w:val="24"/>
        </w:rPr>
        <w:t xml:space="preserve">1, </w:t>
      </w:r>
      <w:r w:rsidRPr="00AB07D2">
        <w:rPr>
          <w:rFonts w:ascii="VangItalic" w:hAnsi="VangItalic" w:cs="VangItalic"/>
          <w:i/>
          <w:iCs/>
          <w:sz w:val="24"/>
          <w:szCs w:val="24"/>
        </w:rPr>
        <w:t xml:space="preserve">j </w:t>
      </w:r>
      <w:r w:rsidRPr="00AB07D2">
        <w:rPr>
          <w:rFonts w:ascii="VangRoman" w:hAnsi="VangRoman" w:cs="VangRoman"/>
          <w:sz w:val="24"/>
          <w:szCs w:val="24"/>
        </w:rPr>
        <w:t xml:space="preserve">&lt; </w:t>
      </w:r>
      <w:r w:rsidRPr="00AB07D2">
        <w:rPr>
          <w:rFonts w:ascii="VangItalic" w:hAnsi="VangItalic" w:cs="VangItalic"/>
          <w:i/>
          <w:iCs/>
          <w:sz w:val="24"/>
          <w:szCs w:val="24"/>
        </w:rPr>
        <w:t>q</w:t>
      </w:r>
      <w:r w:rsidRPr="00AB07D2">
        <w:rPr>
          <w:rFonts w:ascii="VangRoman" w:hAnsi="VangRoman" w:cs="VangRoman"/>
          <w:sz w:val="24"/>
          <w:szCs w:val="24"/>
        </w:rPr>
        <w:t xml:space="preserve">0, </w:t>
      </w:r>
      <w:r w:rsidRPr="00AB07D2">
        <w:rPr>
          <w:rFonts w:ascii="VangItalic" w:hAnsi="VangItalic" w:cs="VangItalic"/>
          <w:i/>
          <w:iCs/>
          <w:sz w:val="24"/>
          <w:szCs w:val="24"/>
        </w:rPr>
        <w:t xml:space="preserve">j </w:t>
      </w:r>
      <w:r w:rsidRPr="00AB07D2">
        <w:rPr>
          <w:rFonts w:ascii="VangRoman" w:hAnsi="VangRoman" w:cs="VangRoman"/>
          <w:sz w:val="24"/>
          <w:szCs w:val="24"/>
        </w:rPr>
        <w:t xml:space="preserve">e quindi </w:t>
      </w:r>
    </w:p>
    <w:p w:rsidR="00B7534A" w:rsidRDefault="00B7534A" w:rsidP="00B7534A">
      <w:pPr>
        <w:autoSpaceDE w:val="0"/>
        <w:autoSpaceDN w:val="0"/>
        <w:adjustRightInd w:val="0"/>
        <w:spacing w:after="0" w:line="240" w:lineRule="auto"/>
        <w:jc w:val="both"/>
        <w:rPr>
          <w:rFonts w:ascii="VangRoman" w:hAnsi="VangRoman" w:cs="VangRoman"/>
          <w:sz w:val="24"/>
          <w:szCs w:val="24"/>
        </w:rPr>
      </w:pPr>
    </w:p>
    <w:p w:rsidR="00B7534A" w:rsidRDefault="00B7534A" w:rsidP="00B7534A">
      <w:pPr>
        <w:autoSpaceDE w:val="0"/>
        <w:autoSpaceDN w:val="0"/>
        <w:adjustRightInd w:val="0"/>
        <w:spacing w:after="0" w:line="240" w:lineRule="auto"/>
        <w:jc w:val="both"/>
        <w:rPr>
          <w:rFonts w:ascii="VangRoman" w:hAnsi="VangRoman" w:cs="VangRoman"/>
          <w:sz w:val="24"/>
          <w:szCs w:val="24"/>
        </w:rPr>
      </w:pPr>
    </w:p>
    <w:p w:rsidR="00B7534A" w:rsidRDefault="00B7534A" w:rsidP="00B7534A">
      <w:pPr>
        <w:autoSpaceDE w:val="0"/>
        <w:autoSpaceDN w:val="0"/>
        <w:adjustRightInd w:val="0"/>
        <w:spacing w:after="0" w:line="240" w:lineRule="auto"/>
        <w:jc w:val="both"/>
        <w:rPr>
          <w:rFonts w:ascii="VangRoman" w:hAnsi="VangRoman" w:cs="VangRoman"/>
          <w:sz w:val="24"/>
          <w:szCs w:val="24"/>
        </w:rPr>
      </w:pPr>
    </w:p>
    <w:p w:rsidR="00B7534A" w:rsidRDefault="00B7534A" w:rsidP="00B7534A">
      <w:pPr>
        <w:autoSpaceDE w:val="0"/>
        <w:autoSpaceDN w:val="0"/>
        <w:adjustRightInd w:val="0"/>
        <w:spacing w:after="0" w:line="240" w:lineRule="auto"/>
        <w:ind w:left="2124" w:firstLine="708"/>
        <w:jc w:val="both"/>
        <w:rPr>
          <w:rFonts w:ascii="VangRoman" w:hAnsi="VangRoman" w:cs="VangRoman"/>
          <w:sz w:val="24"/>
          <w:szCs w:val="24"/>
        </w:rPr>
      </w:pPr>
      <w:r w:rsidRPr="00FD41EB">
        <w:rPr>
          <w:rFonts w:ascii="VangRoman" w:hAnsi="VangRoman" w:cs="VangRoman"/>
          <w:position w:val="-172"/>
          <w:sz w:val="24"/>
          <w:szCs w:val="24"/>
        </w:rPr>
        <w:object w:dxaOrig="3500" w:dyaOrig="3560">
          <v:shape id="_x0000_i1028" type="#_x0000_t75" style="width:220.5pt;height:224.25pt" o:ole="">
            <v:imagedata r:id="rId11" o:title=""/>
          </v:shape>
          <o:OLEObject Type="Embed" ProgID="Equation.3" ShapeID="_x0000_i1028" DrawAspect="Content" ObjectID="_1333208819" r:id="rId12"/>
        </w:object>
      </w:r>
    </w:p>
    <w:p w:rsidR="00B7534A" w:rsidRDefault="00B7534A" w:rsidP="00B7534A">
      <w:pPr>
        <w:autoSpaceDE w:val="0"/>
        <w:autoSpaceDN w:val="0"/>
        <w:adjustRightInd w:val="0"/>
        <w:spacing w:after="0" w:line="240" w:lineRule="auto"/>
        <w:jc w:val="both"/>
        <w:rPr>
          <w:rFonts w:ascii="VangRoman" w:hAnsi="VangRoman" w:cs="VangRoman"/>
          <w:sz w:val="24"/>
          <w:szCs w:val="24"/>
        </w:rPr>
      </w:pPr>
    </w:p>
    <w:p w:rsidR="00B7534A" w:rsidRDefault="00B7534A" w:rsidP="00B7534A">
      <w:pPr>
        <w:autoSpaceDE w:val="0"/>
        <w:autoSpaceDN w:val="0"/>
        <w:adjustRightInd w:val="0"/>
        <w:spacing w:after="0" w:line="240" w:lineRule="auto"/>
        <w:jc w:val="both"/>
        <w:rPr>
          <w:rFonts w:ascii="VangRoman" w:hAnsi="VangRoman" w:cs="VangRoman"/>
          <w:sz w:val="24"/>
          <w:szCs w:val="24"/>
        </w:rPr>
      </w:pPr>
    </w:p>
    <w:p w:rsidR="00B7534A" w:rsidRDefault="00B7534A" w:rsidP="00B7534A">
      <w:pPr>
        <w:autoSpaceDE w:val="0"/>
        <w:autoSpaceDN w:val="0"/>
        <w:adjustRightInd w:val="0"/>
        <w:spacing w:after="0" w:line="240" w:lineRule="auto"/>
        <w:jc w:val="both"/>
        <w:rPr>
          <w:rFonts w:ascii="VangRoman" w:hAnsi="VangRoman" w:cs="VangRoman"/>
          <w:sz w:val="24"/>
          <w:szCs w:val="24"/>
        </w:rPr>
      </w:pPr>
    </w:p>
    <w:p w:rsidR="00B7534A"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con il fattore di ponderazione (</w:t>
      </w:r>
      <w:r w:rsidRPr="00AB07D2">
        <w:rPr>
          <w:rFonts w:ascii="VangItalic" w:hAnsi="VangItalic" w:cs="VangItalic"/>
          <w:i/>
          <w:iCs/>
          <w:sz w:val="24"/>
          <w:szCs w:val="24"/>
        </w:rPr>
        <w:t>p</w:t>
      </w:r>
      <w:r w:rsidRPr="00AB07D2">
        <w:rPr>
          <w:rFonts w:ascii="VangRoman" w:hAnsi="VangRoman" w:cs="VangRoman"/>
          <w:sz w:val="24"/>
          <w:szCs w:val="24"/>
        </w:rPr>
        <w:t xml:space="preserve">0, </w:t>
      </w:r>
      <w:r w:rsidRPr="00AB07D2">
        <w:rPr>
          <w:rFonts w:ascii="VangItalic" w:hAnsi="VangItalic" w:cs="VangItalic"/>
          <w:i/>
          <w:iCs/>
          <w:sz w:val="24"/>
          <w:szCs w:val="24"/>
        </w:rPr>
        <w:t xml:space="preserve">j </w:t>
      </w:r>
      <w:r w:rsidRPr="00AB07D2">
        <w:rPr>
          <w:rFonts w:ascii="Symbol" w:hAnsi="Symbol" w:cs="Symbol"/>
          <w:sz w:val="24"/>
          <w:szCs w:val="24"/>
        </w:rPr>
        <w:t></w:t>
      </w:r>
      <w:r w:rsidRPr="00AB07D2">
        <w:rPr>
          <w:rFonts w:ascii="Symbol" w:hAnsi="Symbol" w:cs="Symbol"/>
          <w:sz w:val="24"/>
          <w:szCs w:val="24"/>
        </w:rPr>
        <w:t></w:t>
      </w:r>
      <w:r w:rsidRPr="00AB07D2">
        <w:rPr>
          <w:rFonts w:ascii="VangItalic" w:hAnsi="VangItalic" w:cs="VangItalic"/>
          <w:i/>
          <w:iCs/>
          <w:sz w:val="24"/>
          <w:szCs w:val="24"/>
        </w:rPr>
        <w:t>q</w:t>
      </w:r>
      <w:r w:rsidRPr="00AB07D2">
        <w:rPr>
          <w:rFonts w:ascii="VangRoman" w:hAnsi="VangRoman" w:cs="VangRoman"/>
          <w:sz w:val="24"/>
          <w:szCs w:val="24"/>
        </w:rPr>
        <w:t xml:space="preserve">0, </w:t>
      </w:r>
      <w:r w:rsidRPr="00AB07D2">
        <w:rPr>
          <w:rFonts w:ascii="VangItalic" w:hAnsi="VangItalic" w:cs="VangItalic"/>
          <w:i/>
          <w:iCs/>
          <w:sz w:val="24"/>
          <w:szCs w:val="24"/>
        </w:rPr>
        <w:t>j</w:t>
      </w:r>
      <w:r w:rsidRPr="00AB07D2">
        <w:rPr>
          <w:rFonts w:ascii="VangRoman" w:hAnsi="VangRoman" w:cs="VangRoman"/>
          <w:sz w:val="24"/>
          <w:szCs w:val="24"/>
        </w:rPr>
        <w:t>) gli aumenti subiranno una ponderazione maggiore di quella</w:t>
      </w:r>
      <w:r>
        <w:rPr>
          <w:rFonts w:ascii="VangRoman" w:hAnsi="VangRoman" w:cs="VangRoman"/>
          <w:sz w:val="24"/>
          <w:szCs w:val="24"/>
        </w:rPr>
        <w:t xml:space="preserve"> </w:t>
      </w:r>
      <w:r w:rsidRPr="00AB07D2">
        <w:rPr>
          <w:rFonts w:ascii="VangRoman" w:hAnsi="VangRoman" w:cs="VangRoman"/>
          <w:sz w:val="24"/>
          <w:szCs w:val="24"/>
        </w:rPr>
        <w:t>che si avrebbe con il coefficiente di ponderazione (</w:t>
      </w:r>
      <w:r w:rsidRPr="00AB07D2">
        <w:rPr>
          <w:rFonts w:ascii="VangItalic" w:hAnsi="VangItalic" w:cs="VangItalic"/>
          <w:i/>
          <w:iCs/>
          <w:sz w:val="24"/>
          <w:szCs w:val="24"/>
        </w:rPr>
        <w:t>p</w:t>
      </w:r>
      <w:r w:rsidRPr="00AB07D2">
        <w:rPr>
          <w:rFonts w:ascii="VangRoman" w:hAnsi="VangRoman" w:cs="VangRoman"/>
          <w:sz w:val="24"/>
          <w:szCs w:val="24"/>
        </w:rPr>
        <w:t xml:space="preserve">0, </w:t>
      </w:r>
      <w:r w:rsidRPr="00AB07D2">
        <w:rPr>
          <w:rFonts w:ascii="VangItalic" w:hAnsi="VangItalic" w:cs="VangItalic"/>
          <w:i/>
          <w:iCs/>
          <w:sz w:val="24"/>
          <w:szCs w:val="24"/>
        </w:rPr>
        <w:t xml:space="preserve">j </w:t>
      </w:r>
      <w:r w:rsidRPr="00AB07D2">
        <w:rPr>
          <w:rFonts w:ascii="Symbol" w:hAnsi="Symbol" w:cs="Symbol"/>
          <w:sz w:val="24"/>
          <w:szCs w:val="24"/>
        </w:rPr>
        <w:t></w:t>
      </w:r>
      <w:r w:rsidRPr="00AB07D2">
        <w:rPr>
          <w:rFonts w:ascii="Symbol" w:hAnsi="Symbol" w:cs="Symbol"/>
          <w:sz w:val="24"/>
          <w:szCs w:val="24"/>
        </w:rPr>
        <w:t></w:t>
      </w:r>
      <w:r w:rsidRPr="00AB07D2">
        <w:rPr>
          <w:rFonts w:ascii="VangItalic" w:hAnsi="VangItalic" w:cs="VangItalic"/>
          <w:i/>
          <w:iCs/>
          <w:sz w:val="24"/>
          <w:szCs w:val="24"/>
        </w:rPr>
        <w:t>q</w:t>
      </w:r>
      <w:r w:rsidRPr="00AB07D2">
        <w:rPr>
          <w:rFonts w:ascii="VangRoman" w:hAnsi="VangRoman" w:cs="VangRoman"/>
          <w:sz w:val="24"/>
          <w:szCs w:val="24"/>
        </w:rPr>
        <w:t xml:space="preserve">1, </w:t>
      </w:r>
      <w:r w:rsidRPr="00AB07D2">
        <w:rPr>
          <w:rFonts w:ascii="VangItalic" w:hAnsi="VangItalic" w:cs="VangItalic"/>
          <w:i/>
          <w:iCs/>
          <w:sz w:val="24"/>
          <w:szCs w:val="24"/>
        </w:rPr>
        <w:t>j</w:t>
      </w:r>
      <w:r w:rsidRPr="00AB07D2">
        <w:rPr>
          <w:rFonts w:ascii="VangRoman" w:hAnsi="VangRoman" w:cs="VangRoman"/>
          <w:sz w:val="24"/>
          <w:szCs w:val="24"/>
        </w:rPr>
        <w:t xml:space="preserve">) l’inverso accadrà se </w:t>
      </w:r>
      <w:r w:rsidRPr="00AB07D2">
        <w:rPr>
          <w:rFonts w:ascii="VangItalic" w:hAnsi="VangItalic" w:cs="VangItalic"/>
          <w:i/>
          <w:iCs/>
          <w:sz w:val="24"/>
          <w:szCs w:val="24"/>
        </w:rPr>
        <w:t>p</w:t>
      </w:r>
      <w:r w:rsidRPr="00AB07D2">
        <w:rPr>
          <w:rFonts w:ascii="VangRoman" w:hAnsi="VangRoman" w:cs="VangRoman"/>
          <w:sz w:val="24"/>
          <w:szCs w:val="24"/>
        </w:rPr>
        <w:t xml:space="preserve">1, </w:t>
      </w:r>
      <w:r w:rsidRPr="00AB07D2">
        <w:rPr>
          <w:rFonts w:ascii="VangItalic" w:hAnsi="VangItalic" w:cs="VangItalic"/>
          <w:i/>
          <w:iCs/>
          <w:sz w:val="24"/>
          <w:szCs w:val="24"/>
        </w:rPr>
        <w:t xml:space="preserve">j </w:t>
      </w:r>
      <w:r w:rsidRPr="00AB07D2">
        <w:rPr>
          <w:rFonts w:ascii="VangRoman" w:hAnsi="VangRoman" w:cs="VangRoman"/>
          <w:sz w:val="24"/>
          <w:szCs w:val="24"/>
        </w:rPr>
        <w:t xml:space="preserve">&lt; </w:t>
      </w:r>
      <w:r w:rsidRPr="00AB07D2">
        <w:rPr>
          <w:rFonts w:ascii="VangItalic" w:hAnsi="VangItalic" w:cs="VangItalic"/>
          <w:i/>
          <w:iCs/>
          <w:sz w:val="24"/>
          <w:szCs w:val="24"/>
        </w:rPr>
        <w:t>p</w:t>
      </w:r>
      <w:r w:rsidRPr="00AB07D2">
        <w:rPr>
          <w:rFonts w:ascii="VangRoman" w:hAnsi="VangRoman" w:cs="VangRoman"/>
          <w:sz w:val="24"/>
          <w:szCs w:val="24"/>
        </w:rPr>
        <w:t xml:space="preserve">0, </w:t>
      </w:r>
      <w:r w:rsidRPr="00AB07D2">
        <w:rPr>
          <w:rFonts w:ascii="VangItalic" w:hAnsi="VangItalic" w:cs="VangItalic"/>
          <w:i/>
          <w:iCs/>
          <w:sz w:val="24"/>
          <w:szCs w:val="24"/>
        </w:rPr>
        <w:t>j</w:t>
      </w:r>
      <w:r w:rsidRPr="00AB07D2">
        <w:rPr>
          <w:rFonts w:ascii="VangRoman" w:hAnsi="VangRoman" w:cs="VangRoman"/>
          <w:sz w:val="24"/>
          <w:szCs w:val="24"/>
        </w:rPr>
        <w:t>.</w:t>
      </w:r>
    </w:p>
    <w:p w:rsidR="00B7534A"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231C6E"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231C6E" w:rsidRPr="00AB07D2" w:rsidRDefault="00231C6E" w:rsidP="00B7534A">
      <w:pPr>
        <w:autoSpaceDE w:val="0"/>
        <w:autoSpaceDN w:val="0"/>
        <w:adjustRightInd w:val="0"/>
        <w:spacing w:after="0" w:line="240" w:lineRule="auto"/>
        <w:jc w:val="both"/>
        <w:rPr>
          <w:rFonts w:ascii="AgeInTexNormal" w:hAnsi="AgeInTexNormal" w:cs="AgeInTexNormal"/>
          <w:b/>
          <w:sz w:val="24"/>
          <w:szCs w:val="24"/>
        </w:rPr>
      </w:pP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r w:rsidRPr="00AB07D2">
        <w:rPr>
          <w:rFonts w:ascii="AgeInTexNormal" w:hAnsi="AgeInTexNormal" w:cs="AgeInTexNormal"/>
          <w:b/>
          <w:sz w:val="24"/>
          <w:szCs w:val="24"/>
        </w:rPr>
        <w:lastRenderedPageBreak/>
        <w:t>L’indice ideale di Fisher</w:t>
      </w:r>
    </w:p>
    <w:p w:rsidR="00B7534A" w:rsidRPr="00AB07D2" w:rsidRDefault="00B7534A" w:rsidP="00B7534A">
      <w:pPr>
        <w:autoSpaceDE w:val="0"/>
        <w:autoSpaceDN w:val="0"/>
        <w:adjustRightInd w:val="0"/>
        <w:spacing w:after="0" w:line="240" w:lineRule="auto"/>
        <w:jc w:val="both"/>
        <w:rPr>
          <w:rFonts w:ascii="AgeInTexNormal" w:hAnsi="AgeInTexNormal" w:cs="AgeInTexNormal"/>
          <w:b/>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r w:rsidRPr="00AB07D2">
        <w:rPr>
          <w:rFonts w:ascii="VangRoman" w:hAnsi="VangRoman" w:cs="VangRoman"/>
          <w:sz w:val="24"/>
          <w:szCs w:val="24"/>
        </w:rPr>
        <w:t>Il numero indice complesso dei prezzi calcolato secondo la formula “ideale”, detta di Fisher (</w:t>
      </w:r>
      <w:r w:rsidRPr="00AB07D2">
        <w:rPr>
          <w:rFonts w:ascii="VangItalic" w:hAnsi="VangItalic" w:cs="VangItalic"/>
          <w:i/>
          <w:iCs/>
          <w:sz w:val="24"/>
          <w:szCs w:val="24"/>
        </w:rPr>
        <w:t>IF</w:t>
      </w:r>
      <w:r w:rsidRPr="00AB07D2">
        <w:rPr>
          <w:rFonts w:ascii="VangRoman" w:hAnsi="VangRoman" w:cs="VangRoman"/>
          <w:sz w:val="24"/>
          <w:szCs w:val="24"/>
        </w:rPr>
        <w:t xml:space="preserve">), gode di alcune proprietà che non si riscontrano negli indici </w:t>
      </w:r>
      <w:r w:rsidRPr="00AB07D2">
        <w:rPr>
          <w:rFonts w:ascii="VangItalic" w:hAnsi="VangItalic" w:cs="VangItalic"/>
          <w:i/>
          <w:iCs/>
          <w:sz w:val="24"/>
          <w:szCs w:val="24"/>
        </w:rPr>
        <w:t xml:space="preserve">IL </w:t>
      </w:r>
      <w:r w:rsidRPr="00AB07D2">
        <w:rPr>
          <w:rFonts w:ascii="VangRoman" w:hAnsi="VangRoman" w:cs="VangRoman"/>
          <w:sz w:val="24"/>
          <w:szCs w:val="24"/>
        </w:rPr>
        <w:t xml:space="preserve">e </w:t>
      </w:r>
      <w:r w:rsidRPr="00AB07D2">
        <w:rPr>
          <w:rFonts w:ascii="VangItalic" w:hAnsi="VangItalic" w:cs="VangItalic"/>
          <w:i/>
          <w:iCs/>
          <w:sz w:val="24"/>
          <w:szCs w:val="24"/>
        </w:rPr>
        <w:t xml:space="preserve">IP </w:t>
      </w:r>
      <w:r w:rsidRPr="00AB07D2">
        <w:rPr>
          <w:rFonts w:ascii="VangRoman" w:hAnsi="VangRoman" w:cs="VangRoman"/>
          <w:sz w:val="24"/>
          <w:szCs w:val="24"/>
        </w:rPr>
        <w:t xml:space="preserve">. Esso è uguale alla </w:t>
      </w:r>
      <w:r w:rsidRPr="00AB07D2">
        <w:rPr>
          <w:rFonts w:ascii="AGaramondAge-Semibold" w:hAnsi="AGaramondAge-Semibold" w:cs="AGaramondAge-Semibold"/>
          <w:sz w:val="24"/>
          <w:szCs w:val="24"/>
        </w:rPr>
        <w:t xml:space="preserve">media geometrica </w:t>
      </w:r>
      <w:r w:rsidRPr="00AB07D2">
        <w:rPr>
          <w:rFonts w:ascii="VangRoman" w:hAnsi="VangRoman" w:cs="VangRoman"/>
          <w:sz w:val="24"/>
          <w:szCs w:val="24"/>
        </w:rPr>
        <w:t xml:space="preserve">dei due indici di </w:t>
      </w:r>
      <w:proofErr w:type="spellStart"/>
      <w:r w:rsidRPr="00AB07D2">
        <w:rPr>
          <w:rFonts w:ascii="VangRoman" w:hAnsi="VangRoman" w:cs="VangRoman"/>
          <w:sz w:val="24"/>
          <w:szCs w:val="24"/>
        </w:rPr>
        <w:t>Laspeyres</w:t>
      </w:r>
      <w:proofErr w:type="spellEnd"/>
      <w:r w:rsidRPr="00AB07D2">
        <w:rPr>
          <w:rFonts w:ascii="VangRoman" w:hAnsi="VangRoman" w:cs="VangRoman"/>
          <w:sz w:val="24"/>
          <w:szCs w:val="24"/>
        </w:rPr>
        <w:t xml:space="preserve"> e </w:t>
      </w:r>
      <w:proofErr w:type="spellStart"/>
      <w:r w:rsidRPr="00AB07D2">
        <w:rPr>
          <w:rFonts w:ascii="VangRoman" w:hAnsi="VangRoman" w:cs="VangRoman"/>
          <w:sz w:val="24"/>
          <w:szCs w:val="24"/>
        </w:rPr>
        <w:t>Paasche</w:t>
      </w:r>
      <w:proofErr w:type="spellEnd"/>
      <w:r w:rsidRPr="00AB07D2">
        <w:rPr>
          <w:rFonts w:ascii="VangRoman" w:hAnsi="VangRoman" w:cs="VangRoman"/>
          <w:sz w:val="24"/>
          <w:szCs w:val="24"/>
        </w:rPr>
        <w:t xml:space="preserve"> suddetti, ossia:</w:t>
      </w:r>
    </w:p>
    <w:p w:rsidR="00B7534A" w:rsidRPr="00AB07D2" w:rsidRDefault="00B7534A" w:rsidP="00B7534A">
      <w:pPr>
        <w:jc w:val="both"/>
        <w:rPr>
          <w:sz w:val="24"/>
          <w:szCs w:val="24"/>
        </w:rPr>
      </w:pPr>
    </w:p>
    <w:p w:rsidR="00B7534A" w:rsidRDefault="00B7534A" w:rsidP="00B7534A">
      <w:pPr>
        <w:ind w:left="2832" w:firstLine="708"/>
        <w:rPr>
          <w:position w:val="-12"/>
        </w:rPr>
      </w:pPr>
      <w:r w:rsidRPr="00975EB8">
        <w:rPr>
          <w:position w:val="-12"/>
        </w:rPr>
        <w:object w:dxaOrig="1359" w:dyaOrig="400">
          <v:shape id="_x0000_i1029" type="#_x0000_t75" style="width:116.25pt;height:34.5pt" o:ole="">
            <v:imagedata r:id="rId13" o:title=""/>
          </v:shape>
          <o:OLEObject Type="Embed" ProgID="Equation.3" ShapeID="_x0000_i1029" DrawAspect="Content" ObjectID="_1333208820" r:id="rId14"/>
        </w:object>
      </w: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B7534A" w:rsidRDefault="00B7534A" w:rsidP="00B7534A">
      <w:pPr>
        <w:ind w:left="2832" w:firstLine="708"/>
        <w:rPr>
          <w:position w:val="-12"/>
        </w:rPr>
      </w:pPr>
    </w:p>
    <w:p w:rsidR="00231C6E" w:rsidRDefault="00231C6E" w:rsidP="00B7534A">
      <w:pPr>
        <w:ind w:left="2832" w:firstLine="708"/>
        <w:rPr>
          <w:position w:val="-12"/>
        </w:rPr>
      </w:pPr>
    </w:p>
    <w:p w:rsidR="00B7534A" w:rsidRDefault="00B7534A" w:rsidP="00B7534A">
      <w:pPr>
        <w:ind w:left="2832" w:firstLine="708"/>
        <w:rPr>
          <w:position w:val="-12"/>
        </w:rPr>
      </w:pPr>
    </w:p>
    <w:p w:rsidR="00B7534A" w:rsidRDefault="00B7534A" w:rsidP="00B7534A">
      <w:pPr>
        <w:autoSpaceDE w:val="0"/>
        <w:autoSpaceDN w:val="0"/>
        <w:adjustRightInd w:val="0"/>
        <w:spacing w:after="0" w:line="240" w:lineRule="auto"/>
        <w:rPr>
          <w:rFonts w:ascii="AgeInfoSemiBoldMtto" w:hAnsi="AgeInfoSemiBoldMtto" w:cs="AgeInfoSemiBoldMtto"/>
          <w:b/>
          <w:bCs/>
          <w:sz w:val="21"/>
          <w:szCs w:val="21"/>
        </w:rPr>
      </w:pPr>
      <w:r>
        <w:rPr>
          <w:rFonts w:ascii="AgeInTextSemiBold" w:hAnsi="AgeInTextSemiBold" w:cs="AgeInTextSemiBold"/>
          <w:b/>
          <w:bCs/>
          <w:sz w:val="21"/>
          <w:szCs w:val="21"/>
        </w:rPr>
        <w:t>3.5. I numeri indici dei prezzi al consumo calcolati dall’</w:t>
      </w:r>
      <w:proofErr w:type="spellStart"/>
      <w:r>
        <w:rPr>
          <w:rFonts w:ascii="AgeInfoSemiBoldMtto" w:hAnsi="AgeInfoSemiBoldMtto" w:cs="AgeInfoSemiBoldMtto"/>
          <w:b/>
          <w:bCs/>
          <w:sz w:val="21"/>
          <w:szCs w:val="21"/>
        </w:rPr>
        <w:t>istat</w:t>
      </w:r>
      <w:proofErr w:type="spellEnd"/>
      <w:r>
        <w:rPr>
          <w:rFonts w:ascii="AgeInfoSemiBoldMtto" w:hAnsi="AgeInfoSemiBoldMtto" w:cs="AgeInfoSemiBoldMtto"/>
          <w:b/>
          <w:bCs/>
          <w:sz w:val="21"/>
          <w:szCs w:val="21"/>
        </w:rPr>
        <w:t xml:space="preserve"> </w:t>
      </w:r>
    </w:p>
    <w:p w:rsidR="00B7534A" w:rsidRDefault="00B7534A" w:rsidP="00B7534A">
      <w:pPr>
        <w:autoSpaceDE w:val="0"/>
        <w:autoSpaceDN w:val="0"/>
        <w:adjustRightInd w:val="0"/>
        <w:spacing w:after="0" w:line="240" w:lineRule="auto"/>
        <w:rPr>
          <w:rFonts w:ascii="AgeInfoSemiBoldMtto" w:hAnsi="AgeInfoSemiBoldMtto" w:cs="AgeInfoSemiBoldMtto"/>
          <w:b/>
          <w:bCs/>
          <w:sz w:val="21"/>
          <w:szCs w:val="21"/>
        </w:rPr>
      </w:pPr>
    </w:p>
    <w:p w:rsidR="00B7534A" w:rsidRDefault="00B7534A" w:rsidP="00B7534A">
      <w:pPr>
        <w:autoSpaceDE w:val="0"/>
        <w:autoSpaceDN w:val="0"/>
        <w:adjustRightInd w:val="0"/>
        <w:spacing w:after="0" w:line="240" w:lineRule="auto"/>
        <w:rPr>
          <w:rFonts w:ascii="AGaramondAge-Semibold" w:hAnsi="AGaramondAge-Semibold" w:cs="AGaramondAge-Semibold"/>
          <w:sz w:val="23"/>
          <w:szCs w:val="23"/>
        </w:rPr>
      </w:pPr>
      <w:r>
        <w:rPr>
          <w:rFonts w:ascii="VangRoman" w:hAnsi="VangRoman" w:cs="VangRoman"/>
          <w:sz w:val="23"/>
          <w:szCs w:val="23"/>
        </w:rPr>
        <w:t xml:space="preserve">Gli indici dei prezzi al consumo misurano le </w:t>
      </w:r>
      <w:r>
        <w:rPr>
          <w:rFonts w:ascii="AGaramondAge-Semibold" w:hAnsi="AGaramondAge-Semibold" w:cs="AGaramondAge-Semibold"/>
          <w:sz w:val="23"/>
          <w:szCs w:val="23"/>
        </w:rPr>
        <w:t xml:space="preserve">variazioni nel tempo </w:t>
      </w:r>
      <w:r>
        <w:rPr>
          <w:rFonts w:ascii="VangRoman" w:hAnsi="VangRoman" w:cs="VangRoman"/>
          <w:sz w:val="23"/>
          <w:szCs w:val="23"/>
        </w:rPr>
        <w:t xml:space="preserve">dei </w:t>
      </w:r>
      <w:r>
        <w:rPr>
          <w:rFonts w:ascii="AGaramondAge-Semibold" w:hAnsi="AGaramondAge-Semibold" w:cs="AGaramondAge-Semibold"/>
          <w:sz w:val="23"/>
          <w:szCs w:val="23"/>
        </w:rPr>
        <w:t xml:space="preserve">prezzi </w:t>
      </w:r>
      <w:r>
        <w:rPr>
          <w:rFonts w:ascii="VangRoman" w:hAnsi="VangRoman" w:cs="VangRoman"/>
          <w:sz w:val="23"/>
          <w:szCs w:val="23"/>
        </w:rPr>
        <w:t xml:space="preserve">di un </w:t>
      </w:r>
      <w:r>
        <w:rPr>
          <w:rFonts w:ascii="AGaramondAge-Semibold" w:hAnsi="AGaramondAge-Semibold" w:cs="AGaramondAge-Semibold"/>
          <w:sz w:val="23"/>
          <w:szCs w:val="23"/>
        </w:rPr>
        <w:t>paniere</w:t>
      </w:r>
    </w:p>
    <w:p w:rsidR="00B7534A" w:rsidRDefault="00B7534A" w:rsidP="00B7534A">
      <w:pPr>
        <w:autoSpaceDE w:val="0"/>
        <w:autoSpaceDN w:val="0"/>
        <w:adjustRightInd w:val="0"/>
        <w:spacing w:after="0" w:line="240" w:lineRule="auto"/>
        <w:rPr>
          <w:rFonts w:ascii="VangRoman" w:hAnsi="VangRoman" w:cs="VangRoman"/>
          <w:sz w:val="23"/>
          <w:szCs w:val="23"/>
        </w:rPr>
      </w:pPr>
      <w:r>
        <w:rPr>
          <w:rFonts w:ascii="VangRoman" w:hAnsi="VangRoman" w:cs="VangRoman"/>
          <w:sz w:val="23"/>
          <w:szCs w:val="23"/>
        </w:rPr>
        <w:t xml:space="preserve">rappresentativo di tutti i beni e servizi destinati al consumo finale delle famiglie, acquistabili sul mercato attraverso transazioni monetarie (sono escluse le transazioni a titolo gratuito, gli autoconsumi, i fitti figurativi ecc.). </w:t>
      </w:r>
    </w:p>
    <w:p w:rsidR="00B7534A" w:rsidRDefault="00B7534A" w:rsidP="00B7534A">
      <w:pPr>
        <w:autoSpaceDE w:val="0"/>
        <w:autoSpaceDN w:val="0"/>
        <w:adjustRightInd w:val="0"/>
        <w:spacing w:after="0" w:line="240" w:lineRule="auto"/>
        <w:rPr>
          <w:rFonts w:ascii="VangRoman" w:hAnsi="VangRoman" w:cs="VangRoman"/>
          <w:sz w:val="23"/>
          <w:szCs w:val="23"/>
        </w:rPr>
      </w:pPr>
    </w:p>
    <w:p w:rsidR="00B7534A" w:rsidRDefault="00B7534A" w:rsidP="00B7534A">
      <w:pPr>
        <w:autoSpaceDE w:val="0"/>
        <w:autoSpaceDN w:val="0"/>
        <w:adjustRightInd w:val="0"/>
        <w:spacing w:after="0" w:line="240" w:lineRule="auto"/>
        <w:rPr>
          <w:rFonts w:ascii="VangRoman" w:hAnsi="VangRoman" w:cs="VangRoman"/>
          <w:sz w:val="23"/>
          <w:szCs w:val="23"/>
        </w:rPr>
      </w:pPr>
      <w:r>
        <w:rPr>
          <w:rFonts w:ascii="VangRoman" w:hAnsi="VangRoman" w:cs="VangRoman"/>
          <w:sz w:val="23"/>
          <w:szCs w:val="23"/>
        </w:rPr>
        <w:t xml:space="preserve">Gli indici dei prezzi al consumo sono calcolati utilizzando l’indice a catena del tipo </w:t>
      </w:r>
      <w:proofErr w:type="spellStart"/>
      <w:r>
        <w:rPr>
          <w:rFonts w:ascii="VangRoman" w:hAnsi="VangRoman" w:cs="VangRoman"/>
          <w:sz w:val="23"/>
          <w:szCs w:val="23"/>
        </w:rPr>
        <w:t>Laspeyres</w:t>
      </w:r>
      <w:proofErr w:type="spellEnd"/>
      <w:r>
        <w:rPr>
          <w:rFonts w:ascii="VangRoman" w:hAnsi="VangRoman" w:cs="VangRoman"/>
          <w:sz w:val="23"/>
          <w:szCs w:val="23"/>
        </w:rPr>
        <w:t xml:space="preserve"> in cui sia il paniere sia il sistema dei pesi vengono </w:t>
      </w:r>
      <w:r>
        <w:rPr>
          <w:rFonts w:ascii="AGaramondAge-Semibold" w:hAnsi="AGaramondAge-Semibold" w:cs="AGaramondAge-Semibold"/>
          <w:sz w:val="23"/>
          <w:szCs w:val="23"/>
        </w:rPr>
        <w:t>aggiornati annualmente</w:t>
      </w:r>
      <w:r>
        <w:rPr>
          <w:rFonts w:ascii="VangRoman" w:hAnsi="VangRoman" w:cs="VangRoman"/>
          <w:sz w:val="23"/>
          <w:szCs w:val="23"/>
        </w:rPr>
        <w:t>.</w:t>
      </w:r>
    </w:p>
    <w:p w:rsidR="00B7534A" w:rsidRDefault="00B7534A" w:rsidP="00B7534A">
      <w:pPr>
        <w:autoSpaceDE w:val="0"/>
        <w:autoSpaceDN w:val="0"/>
        <w:adjustRightInd w:val="0"/>
        <w:spacing w:after="0" w:line="240" w:lineRule="auto"/>
        <w:rPr>
          <w:rFonts w:ascii="VangRoman" w:hAnsi="VangRoman" w:cs="VangRoman"/>
          <w:sz w:val="23"/>
          <w:szCs w:val="23"/>
        </w:rPr>
      </w:pPr>
    </w:p>
    <w:p w:rsidR="00B7534A" w:rsidRDefault="00B7534A" w:rsidP="00B7534A">
      <w:pPr>
        <w:autoSpaceDE w:val="0"/>
        <w:autoSpaceDN w:val="0"/>
        <w:adjustRightInd w:val="0"/>
        <w:spacing w:after="0" w:line="240" w:lineRule="auto"/>
        <w:rPr>
          <w:rFonts w:ascii="VangRoman" w:hAnsi="VangRoman" w:cs="VangRoman"/>
          <w:sz w:val="23"/>
          <w:szCs w:val="23"/>
        </w:rPr>
      </w:pPr>
      <w:r>
        <w:rPr>
          <w:rFonts w:ascii="VangRoman" w:hAnsi="VangRoman" w:cs="VangRoman"/>
          <w:sz w:val="23"/>
          <w:szCs w:val="23"/>
        </w:rPr>
        <w:t>L’</w:t>
      </w:r>
      <w:proofErr w:type="spellStart"/>
      <w:r>
        <w:rPr>
          <w:rFonts w:ascii="VangMatto" w:hAnsi="VangMatto" w:cs="VangMatto"/>
          <w:sz w:val="23"/>
          <w:szCs w:val="23"/>
        </w:rPr>
        <w:t>istat</w:t>
      </w:r>
      <w:proofErr w:type="spellEnd"/>
      <w:r>
        <w:rPr>
          <w:rFonts w:ascii="VangMatto" w:hAnsi="VangMatto" w:cs="VangMatto"/>
          <w:sz w:val="23"/>
          <w:szCs w:val="23"/>
        </w:rPr>
        <w:t xml:space="preserve"> </w:t>
      </w:r>
      <w:r>
        <w:rPr>
          <w:rFonts w:ascii="VangRoman" w:hAnsi="VangRoman" w:cs="VangRoman"/>
          <w:sz w:val="23"/>
          <w:szCs w:val="23"/>
        </w:rPr>
        <w:t>calcola tre diversi numeri indici sintetici dei prezzi al consumo:</w:t>
      </w:r>
    </w:p>
    <w:p w:rsidR="00B7534A" w:rsidRDefault="00B7534A" w:rsidP="00B7534A">
      <w:pPr>
        <w:autoSpaceDE w:val="0"/>
        <w:autoSpaceDN w:val="0"/>
        <w:adjustRightInd w:val="0"/>
        <w:spacing w:after="0" w:line="240" w:lineRule="auto"/>
        <w:rPr>
          <w:rFonts w:ascii="VangRoman" w:hAnsi="VangRoman" w:cs="VangRoman"/>
          <w:sz w:val="23"/>
          <w:szCs w:val="23"/>
        </w:rPr>
      </w:pPr>
    </w:p>
    <w:p w:rsidR="00B7534A" w:rsidRPr="009D008B" w:rsidRDefault="00B7534A" w:rsidP="00B7534A">
      <w:pPr>
        <w:pStyle w:val="Paragrafoelenco"/>
        <w:numPr>
          <w:ilvl w:val="0"/>
          <w:numId w:val="4"/>
        </w:numPr>
        <w:autoSpaceDE w:val="0"/>
        <w:autoSpaceDN w:val="0"/>
        <w:adjustRightInd w:val="0"/>
        <w:spacing w:after="0" w:line="240" w:lineRule="auto"/>
        <w:rPr>
          <w:rFonts w:ascii="VangRoman" w:hAnsi="VangRoman" w:cs="VangRoman"/>
          <w:sz w:val="23"/>
          <w:szCs w:val="23"/>
        </w:rPr>
      </w:pPr>
      <w:r w:rsidRPr="009D008B">
        <w:rPr>
          <w:rFonts w:ascii="VangRoman" w:hAnsi="VangRoman" w:cs="VangRoman"/>
          <w:sz w:val="23"/>
          <w:szCs w:val="23"/>
        </w:rPr>
        <w:t xml:space="preserve">l’indice nazionale </w:t>
      </w:r>
      <w:r w:rsidRPr="005C288A">
        <w:rPr>
          <w:rFonts w:ascii="AgeInTextSemiBold" w:hAnsi="AgeInTextSemiBold" w:cs="AgeInTextSemiBold"/>
          <w:bCs/>
          <w:sz w:val="21"/>
          <w:szCs w:val="21"/>
        </w:rPr>
        <w:t>dei prezzi al consumo</w:t>
      </w:r>
      <w:r>
        <w:rPr>
          <w:rFonts w:ascii="AgeInTextSemiBold" w:hAnsi="AgeInTextSemiBold" w:cs="AgeInTextSemiBold"/>
          <w:b/>
          <w:bCs/>
          <w:sz w:val="21"/>
          <w:szCs w:val="21"/>
        </w:rPr>
        <w:t xml:space="preserve"> </w:t>
      </w:r>
      <w:r w:rsidRPr="009D008B">
        <w:rPr>
          <w:rFonts w:ascii="VangRoman" w:hAnsi="VangRoman" w:cs="VangRoman"/>
          <w:sz w:val="23"/>
          <w:szCs w:val="23"/>
        </w:rPr>
        <w:t>per l’intera collettività nazionale (</w:t>
      </w:r>
      <w:r>
        <w:rPr>
          <w:rFonts w:ascii="VangMatto" w:hAnsi="VangMatto" w:cs="VangMatto"/>
          <w:b/>
          <w:sz w:val="23"/>
          <w:szCs w:val="23"/>
        </w:rPr>
        <w:t>NIC</w:t>
      </w:r>
      <w:r w:rsidRPr="009D008B">
        <w:rPr>
          <w:rFonts w:ascii="VangRoman" w:hAnsi="VangRoman" w:cs="VangRoman"/>
          <w:sz w:val="23"/>
          <w:szCs w:val="23"/>
        </w:rPr>
        <w:t>): è calcolato con riferimento ai consumi dell’intera popolazione presente nel territorio nazionale;</w:t>
      </w:r>
    </w:p>
    <w:p w:rsidR="00B7534A" w:rsidRPr="009D008B" w:rsidRDefault="00B7534A" w:rsidP="00B7534A">
      <w:pPr>
        <w:pStyle w:val="Paragrafoelenco"/>
        <w:numPr>
          <w:ilvl w:val="0"/>
          <w:numId w:val="4"/>
        </w:numPr>
        <w:autoSpaceDE w:val="0"/>
        <w:autoSpaceDN w:val="0"/>
        <w:adjustRightInd w:val="0"/>
        <w:spacing w:after="0" w:line="240" w:lineRule="auto"/>
        <w:rPr>
          <w:rFonts w:ascii="VangRoman" w:hAnsi="VangRoman" w:cs="VangRoman"/>
          <w:sz w:val="23"/>
          <w:szCs w:val="23"/>
        </w:rPr>
      </w:pPr>
      <w:r w:rsidRPr="009D008B">
        <w:rPr>
          <w:rFonts w:ascii="VangRoman" w:hAnsi="VangRoman" w:cs="VangRoman"/>
          <w:sz w:val="23"/>
          <w:szCs w:val="23"/>
        </w:rPr>
        <w:t xml:space="preserve">l’indice </w:t>
      </w:r>
      <w:r w:rsidRPr="005C288A">
        <w:rPr>
          <w:rFonts w:ascii="AgeInTextSemiBold" w:hAnsi="AgeInTextSemiBold" w:cs="AgeInTextSemiBold"/>
          <w:bCs/>
          <w:sz w:val="21"/>
          <w:szCs w:val="21"/>
        </w:rPr>
        <w:t>dei prezzi al consumo</w:t>
      </w:r>
      <w:r>
        <w:rPr>
          <w:rFonts w:ascii="AgeInTextSemiBold" w:hAnsi="AgeInTextSemiBold" w:cs="AgeInTextSemiBold"/>
          <w:b/>
          <w:bCs/>
          <w:sz w:val="21"/>
          <w:szCs w:val="21"/>
        </w:rPr>
        <w:t xml:space="preserve"> </w:t>
      </w:r>
      <w:r w:rsidRPr="009D008B">
        <w:rPr>
          <w:rFonts w:ascii="VangRoman" w:hAnsi="VangRoman" w:cs="VangRoman"/>
          <w:sz w:val="23"/>
          <w:szCs w:val="23"/>
        </w:rPr>
        <w:t>per le famiglie di operai e impiegati (già indici del costo della vita) (</w:t>
      </w:r>
      <w:r>
        <w:rPr>
          <w:rFonts w:ascii="VangMatto" w:hAnsi="VangMatto" w:cs="VangMatto"/>
          <w:b/>
          <w:sz w:val="23"/>
          <w:szCs w:val="23"/>
        </w:rPr>
        <w:t>FOI</w:t>
      </w:r>
      <w:r w:rsidRPr="009D008B">
        <w:rPr>
          <w:rFonts w:ascii="VangRoman" w:hAnsi="VangRoman" w:cs="VangRoman"/>
          <w:sz w:val="23"/>
          <w:szCs w:val="23"/>
        </w:rPr>
        <w:t xml:space="preserve">): si riferisce ai consumi delle famiglie che hanno come persona di riferimento un lavoratore dipendente </w:t>
      </w:r>
      <w:proofErr w:type="spellStart"/>
      <w:r w:rsidRPr="009D008B">
        <w:rPr>
          <w:rFonts w:ascii="VangRoman" w:hAnsi="VangRoman" w:cs="VangRoman"/>
          <w:sz w:val="23"/>
          <w:szCs w:val="23"/>
        </w:rPr>
        <w:t>extra-agricolo</w:t>
      </w:r>
      <w:proofErr w:type="spellEnd"/>
      <w:r w:rsidRPr="009D008B">
        <w:rPr>
          <w:rFonts w:ascii="VangRoman" w:hAnsi="VangRoman" w:cs="VangRoman"/>
          <w:sz w:val="23"/>
          <w:szCs w:val="23"/>
        </w:rPr>
        <w:t xml:space="preserve"> (operaio o impiegato);.</w:t>
      </w:r>
    </w:p>
    <w:p w:rsidR="00B7534A" w:rsidRPr="005C288A" w:rsidRDefault="00B7534A" w:rsidP="00B7534A">
      <w:pPr>
        <w:pStyle w:val="Paragrafoelenco"/>
        <w:numPr>
          <w:ilvl w:val="0"/>
          <w:numId w:val="4"/>
        </w:numPr>
        <w:autoSpaceDE w:val="0"/>
        <w:autoSpaceDN w:val="0"/>
        <w:adjustRightInd w:val="0"/>
        <w:spacing w:after="0" w:line="240" w:lineRule="auto"/>
        <w:rPr>
          <w:rFonts w:ascii="VangRoman" w:hAnsi="VangRoman" w:cs="VangRoman"/>
          <w:sz w:val="23"/>
          <w:szCs w:val="23"/>
          <w:u w:val="single"/>
        </w:rPr>
      </w:pPr>
      <w:r w:rsidRPr="005C288A">
        <w:rPr>
          <w:rFonts w:ascii="VangRoman" w:hAnsi="VangRoman" w:cs="VangRoman"/>
          <w:sz w:val="23"/>
          <w:szCs w:val="23"/>
        </w:rPr>
        <w:t xml:space="preserve">l’indice </w:t>
      </w:r>
      <w:r w:rsidRPr="005C288A">
        <w:rPr>
          <w:rFonts w:ascii="AgeInTextSemiBold" w:hAnsi="AgeInTextSemiBold" w:cs="AgeInTextSemiBold"/>
          <w:bCs/>
          <w:sz w:val="21"/>
          <w:szCs w:val="21"/>
        </w:rPr>
        <w:t>dei prezzi al consumo</w:t>
      </w:r>
      <w:r w:rsidRPr="005C288A">
        <w:rPr>
          <w:rFonts w:ascii="AgeInTextSemiBold" w:hAnsi="AgeInTextSemiBold" w:cs="AgeInTextSemiBold"/>
          <w:b/>
          <w:bCs/>
          <w:sz w:val="21"/>
          <w:szCs w:val="21"/>
        </w:rPr>
        <w:t xml:space="preserve"> </w:t>
      </w:r>
      <w:r w:rsidRPr="005C288A">
        <w:rPr>
          <w:rFonts w:ascii="VangRoman" w:hAnsi="VangRoman" w:cs="VangRoman"/>
          <w:sz w:val="23"/>
          <w:szCs w:val="23"/>
        </w:rPr>
        <w:t>armonizzato per i paesi dell’Unione europea</w:t>
      </w:r>
      <w:r w:rsidRPr="005C288A">
        <w:rPr>
          <w:rFonts w:ascii="VangRoman" w:hAnsi="VangRoman" w:cs="VangRoman"/>
          <w:sz w:val="23"/>
          <w:szCs w:val="23"/>
          <w:u w:val="single"/>
        </w:rPr>
        <w:t>.</w:t>
      </w:r>
      <w:r w:rsidRPr="005C288A">
        <w:rPr>
          <w:rFonts w:ascii="VangRoman" w:hAnsi="VangRoman" w:cs="VangRoman"/>
          <w:sz w:val="23"/>
          <w:szCs w:val="23"/>
        </w:rPr>
        <w:t>(</w:t>
      </w:r>
      <w:r w:rsidRPr="005C288A">
        <w:rPr>
          <w:rFonts w:ascii="VangMatto" w:hAnsi="VangMatto" w:cs="VangMatto"/>
          <w:b/>
          <w:sz w:val="23"/>
          <w:szCs w:val="23"/>
        </w:rPr>
        <w:t>IPCA</w:t>
      </w:r>
      <w:r w:rsidRPr="005C288A">
        <w:rPr>
          <w:rFonts w:ascii="VangRoman" w:hAnsi="VangRoman" w:cs="VangRoman"/>
          <w:sz w:val="23"/>
          <w:szCs w:val="23"/>
        </w:rPr>
        <w:t xml:space="preserve">): è riferito alla generalità delle famiglie presenti </w:t>
      </w:r>
      <w:r>
        <w:rPr>
          <w:rFonts w:ascii="VangRoman" w:hAnsi="VangRoman" w:cs="VangRoman"/>
          <w:sz w:val="23"/>
          <w:szCs w:val="23"/>
        </w:rPr>
        <w:t xml:space="preserve">nei </w:t>
      </w:r>
      <w:r w:rsidRPr="005C288A">
        <w:rPr>
          <w:rFonts w:ascii="VangRoman" w:hAnsi="VangRoman" w:cs="VangRoman"/>
          <w:sz w:val="23"/>
          <w:szCs w:val="23"/>
        </w:rPr>
        <w:t xml:space="preserve">paesi dell’Unione europea ma con un campo di osservazione </w:t>
      </w:r>
      <w:r w:rsidRPr="005C288A">
        <w:rPr>
          <w:rFonts w:ascii="VangRoman" w:hAnsi="VangRoman" w:cs="VangRoman"/>
          <w:sz w:val="23"/>
          <w:szCs w:val="23"/>
          <w:u w:val="single"/>
        </w:rPr>
        <w:t xml:space="preserve">limitato ai consumi di beni e servizi che hanno regimi di prezzo comparabili nei diversi paesi dell’Unione europea. </w:t>
      </w:r>
    </w:p>
    <w:p w:rsidR="00B7534A" w:rsidRDefault="00B7534A" w:rsidP="00B7534A">
      <w:pPr>
        <w:autoSpaceDE w:val="0"/>
        <w:autoSpaceDN w:val="0"/>
        <w:adjustRightInd w:val="0"/>
        <w:spacing w:after="0" w:line="240" w:lineRule="auto"/>
        <w:rPr>
          <w:rFonts w:ascii="VangRoman" w:hAnsi="VangRoman" w:cs="VangRoman"/>
          <w:sz w:val="23"/>
          <w:szCs w:val="23"/>
        </w:rPr>
      </w:pPr>
    </w:p>
    <w:p w:rsidR="00B7534A" w:rsidRPr="00AF1EC6" w:rsidRDefault="00B7534A" w:rsidP="00B7534A">
      <w:pPr>
        <w:pStyle w:val="Paragrafoelenco"/>
        <w:numPr>
          <w:ilvl w:val="0"/>
          <w:numId w:val="8"/>
        </w:numPr>
        <w:autoSpaceDE w:val="0"/>
        <w:autoSpaceDN w:val="0"/>
        <w:adjustRightInd w:val="0"/>
        <w:spacing w:after="0" w:line="240" w:lineRule="auto"/>
        <w:rPr>
          <w:rFonts w:ascii="VangRoman" w:hAnsi="VangRoman" w:cs="VangRoman"/>
          <w:sz w:val="23"/>
          <w:szCs w:val="23"/>
        </w:rPr>
      </w:pPr>
      <w:r w:rsidRPr="00AF1EC6">
        <w:rPr>
          <w:rFonts w:ascii="VangRoman" w:hAnsi="VangRoman" w:cs="VangRoman"/>
          <w:sz w:val="23"/>
          <w:szCs w:val="23"/>
        </w:rPr>
        <w:t>L’indice dei prezzi al consumo per l’intera collettività nazionale (</w:t>
      </w:r>
      <w:r>
        <w:rPr>
          <w:rFonts w:ascii="VangMatto" w:hAnsi="VangMatto" w:cs="VangMatto"/>
          <w:b/>
          <w:sz w:val="23"/>
          <w:szCs w:val="23"/>
        </w:rPr>
        <w:t>NIC</w:t>
      </w:r>
      <w:r w:rsidRPr="00AF1EC6">
        <w:rPr>
          <w:rFonts w:ascii="VangRoman" w:hAnsi="VangRoman" w:cs="VangRoman"/>
          <w:sz w:val="23"/>
          <w:szCs w:val="23"/>
        </w:rPr>
        <w:t xml:space="preserve">) viene utilizzato dall’Eurostat quale indicatore ufficiale dell’andamento dei prezzi al consumo nel nostro Paese, </w:t>
      </w:r>
      <w:r w:rsidRPr="00AF1EC6">
        <w:rPr>
          <w:rFonts w:ascii="VangRoman" w:hAnsi="VangRoman" w:cs="VangRoman"/>
          <w:sz w:val="23"/>
          <w:szCs w:val="23"/>
          <w:u w:val="single"/>
        </w:rPr>
        <w:t>come misura dell’inflazione a livello dell’intero sistema economico</w:t>
      </w:r>
      <w:r w:rsidRPr="00AF1EC6">
        <w:rPr>
          <w:rFonts w:ascii="VangRoman" w:hAnsi="VangRoman" w:cs="VangRoman"/>
          <w:sz w:val="23"/>
          <w:szCs w:val="23"/>
        </w:rPr>
        <w:t>, in altre parole considera l’Italia come se fosse un’unica grande famiglia di consumatori, all’interno della quale le abitudini di spesa sono ovviamente molto differenziate.</w:t>
      </w:r>
    </w:p>
    <w:p w:rsidR="00B7534A" w:rsidRPr="009D5445" w:rsidRDefault="00B7534A" w:rsidP="00B7534A">
      <w:pPr>
        <w:autoSpaceDE w:val="0"/>
        <w:autoSpaceDN w:val="0"/>
        <w:adjustRightInd w:val="0"/>
        <w:spacing w:after="0" w:line="240" w:lineRule="auto"/>
        <w:ind w:left="708" w:firstLine="45"/>
        <w:rPr>
          <w:rFonts w:ascii="VangRoman" w:hAnsi="VangRoman" w:cs="VangRoman"/>
          <w:sz w:val="23"/>
          <w:szCs w:val="23"/>
          <w:u w:val="single"/>
        </w:rPr>
      </w:pPr>
      <w:r w:rsidRPr="009D5445">
        <w:rPr>
          <w:rFonts w:ascii="VangRoman" w:hAnsi="VangRoman" w:cs="VangRoman"/>
          <w:sz w:val="23"/>
          <w:szCs w:val="23"/>
          <w:u w:val="single"/>
        </w:rPr>
        <w:t xml:space="preserve">Il </w:t>
      </w:r>
      <w:proofErr w:type="spellStart"/>
      <w:r w:rsidRPr="009D5445">
        <w:rPr>
          <w:rFonts w:ascii="VangMatto" w:hAnsi="VangMatto" w:cs="VangMatto"/>
          <w:b/>
          <w:sz w:val="23"/>
          <w:szCs w:val="23"/>
          <w:u w:val="single"/>
        </w:rPr>
        <w:t>nic</w:t>
      </w:r>
      <w:proofErr w:type="spellEnd"/>
      <w:r w:rsidRPr="009D5445">
        <w:rPr>
          <w:rFonts w:ascii="VangMatto" w:hAnsi="VangMatto" w:cs="VangMatto"/>
          <w:sz w:val="23"/>
          <w:szCs w:val="23"/>
          <w:u w:val="single"/>
        </w:rPr>
        <w:t xml:space="preserve"> </w:t>
      </w:r>
      <w:r w:rsidRPr="009D5445">
        <w:rPr>
          <w:rFonts w:ascii="VangRoman" w:hAnsi="VangRoman" w:cs="VangRoman"/>
          <w:sz w:val="23"/>
          <w:szCs w:val="23"/>
          <w:u w:val="single"/>
        </w:rPr>
        <w:t>rappresenta, per gli organi di governo, il parametro di riferimento per la realizzazione delle politiche economiche, ad esempio, per indicare nel Documento di programmazione economica e finanziaria (</w:t>
      </w:r>
      <w:proofErr w:type="spellStart"/>
      <w:r w:rsidRPr="009D5445">
        <w:rPr>
          <w:rFonts w:ascii="VangMatto" w:hAnsi="VangMatto" w:cs="VangMatto"/>
          <w:sz w:val="23"/>
          <w:szCs w:val="23"/>
          <w:u w:val="single"/>
        </w:rPr>
        <w:t>dpef</w:t>
      </w:r>
      <w:proofErr w:type="spellEnd"/>
      <w:r w:rsidRPr="009D5445">
        <w:rPr>
          <w:rFonts w:ascii="VangRoman" w:hAnsi="VangRoman" w:cs="VangRoman"/>
          <w:sz w:val="23"/>
          <w:szCs w:val="23"/>
          <w:u w:val="single"/>
        </w:rPr>
        <w:t>) il tasso d’inflazione programmata,cui sono collegati i rinnovi dei contratti collettivi di lavoro.</w:t>
      </w:r>
    </w:p>
    <w:p w:rsidR="00B7534A" w:rsidRDefault="00B7534A" w:rsidP="00B7534A">
      <w:pPr>
        <w:autoSpaceDE w:val="0"/>
        <w:autoSpaceDN w:val="0"/>
        <w:adjustRightInd w:val="0"/>
        <w:spacing w:after="0" w:line="240" w:lineRule="auto"/>
        <w:rPr>
          <w:rFonts w:ascii="VangRoman" w:hAnsi="VangRoman" w:cs="VangRoman"/>
          <w:sz w:val="23"/>
          <w:szCs w:val="23"/>
        </w:rPr>
      </w:pPr>
    </w:p>
    <w:p w:rsidR="00B7534A" w:rsidRPr="00AF1EC6" w:rsidRDefault="00B7534A" w:rsidP="00B7534A">
      <w:pPr>
        <w:pStyle w:val="Paragrafoelenco"/>
        <w:numPr>
          <w:ilvl w:val="0"/>
          <w:numId w:val="8"/>
        </w:numPr>
        <w:autoSpaceDE w:val="0"/>
        <w:autoSpaceDN w:val="0"/>
        <w:adjustRightInd w:val="0"/>
        <w:spacing w:after="0" w:line="240" w:lineRule="auto"/>
        <w:rPr>
          <w:rFonts w:ascii="VangRoman" w:hAnsi="VangRoman" w:cs="VangRoman"/>
          <w:sz w:val="23"/>
          <w:szCs w:val="23"/>
        </w:rPr>
      </w:pPr>
      <w:r w:rsidRPr="00AF1EC6">
        <w:rPr>
          <w:rFonts w:ascii="VangRoman" w:hAnsi="VangRoman" w:cs="VangRoman"/>
          <w:sz w:val="23"/>
          <w:szCs w:val="23"/>
        </w:rPr>
        <w:t>L’indice dei prezzi al consumo per famiglie di operai e impiegati (</w:t>
      </w:r>
      <w:r>
        <w:rPr>
          <w:rFonts w:ascii="VangMatto" w:hAnsi="VangMatto" w:cs="VangMatto"/>
          <w:b/>
          <w:sz w:val="23"/>
          <w:szCs w:val="23"/>
        </w:rPr>
        <w:t>FOI</w:t>
      </w:r>
      <w:r w:rsidRPr="00AF1EC6">
        <w:rPr>
          <w:rFonts w:ascii="VangRoman" w:hAnsi="VangRoman" w:cs="VangRoman"/>
          <w:sz w:val="23"/>
          <w:szCs w:val="23"/>
        </w:rPr>
        <w:t xml:space="preserve">), è usato per </w:t>
      </w:r>
      <w:r>
        <w:rPr>
          <w:rFonts w:ascii="VangRoman" w:hAnsi="VangRoman" w:cs="VangRoman"/>
          <w:sz w:val="23"/>
          <w:szCs w:val="23"/>
        </w:rPr>
        <w:t>a</w:t>
      </w:r>
      <w:r w:rsidRPr="00AF1EC6">
        <w:rPr>
          <w:rFonts w:ascii="VangRoman" w:hAnsi="VangRoman" w:cs="VangRoman"/>
          <w:sz w:val="23"/>
          <w:szCs w:val="23"/>
        </w:rPr>
        <w:t xml:space="preserve">deguare periodicamente i valori monetari e costituisce ormai un costante riferimento per il legislatore nella definizione di meccanismi di indicizzazione legale (ad es. gli affitti o gli assegni dovuti al coniuge separato). </w:t>
      </w:r>
    </w:p>
    <w:p w:rsidR="00B7534A" w:rsidRDefault="00B7534A" w:rsidP="00B7534A">
      <w:pPr>
        <w:autoSpaceDE w:val="0"/>
        <w:autoSpaceDN w:val="0"/>
        <w:adjustRightInd w:val="0"/>
        <w:spacing w:after="0" w:line="240" w:lineRule="auto"/>
        <w:rPr>
          <w:rFonts w:ascii="VangRoman" w:hAnsi="VangRoman" w:cs="VangRoman"/>
          <w:sz w:val="23"/>
          <w:szCs w:val="23"/>
        </w:rPr>
      </w:pPr>
    </w:p>
    <w:p w:rsidR="00B7534A" w:rsidRPr="00AF1EC6" w:rsidRDefault="00B7534A" w:rsidP="00B7534A">
      <w:pPr>
        <w:pStyle w:val="Paragrafoelenco"/>
        <w:numPr>
          <w:ilvl w:val="0"/>
          <w:numId w:val="8"/>
        </w:numPr>
        <w:autoSpaceDE w:val="0"/>
        <w:autoSpaceDN w:val="0"/>
        <w:adjustRightInd w:val="0"/>
        <w:spacing w:after="0" w:line="240" w:lineRule="auto"/>
        <w:rPr>
          <w:rFonts w:ascii="VangRoman" w:hAnsi="VangRoman" w:cs="VangRoman"/>
          <w:sz w:val="23"/>
          <w:szCs w:val="23"/>
        </w:rPr>
      </w:pPr>
      <w:r w:rsidRPr="00AF1EC6">
        <w:rPr>
          <w:rFonts w:ascii="VangRoman" w:hAnsi="VangRoman" w:cs="VangRoman"/>
          <w:sz w:val="23"/>
          <w:szCs w:val="23"/>
        </w:rPr>
        <w:t>L’indice armonizzato su base comunitaria (</w:t>
      </w:r>
      <w:r w:rsidRPr="005C288A">
        <w:rPr>
          <w:rFonts w:ascii="VangMatto" w:hAnsi="VangMatto" w:cs="VangMatto"/>
          <w:b/>
          <w:sz w:val="23"/>
          <w:szCs w:val="23"/>
        </w:rPr>
        <w:t>IPCA</w:t>
      </w:r>
      <w:r w:rsidRPr="00AF1EC6">
        <w:rPr>
          <w:rFonts w:ascii="VangRoman" w:hAnsi="VangRoman" w:cs="VangRoman"/>
          <w:sz w:val="23"/>
          <w:szCs w:val="23"/>
        </w:rPr>
        <w:t xml:space="preserve">) è stato sviluppato per </w:t>
      </w:r>
      <w:r w:rsidRPr="00AF1EC6">
        <w:rPr>
          <w:rFonts w:ascii="VangRoman" w:hAnsi="VangRoman" w:cs="VangRoman"/>
          <w:sz w:val="23"/>
          <w:szCs w:val="23"/>
          <w:u w:val="single"/>
        </w:rPr>
        <w:t>assicurare una misura dell’inflazione comparabile a livello europeo</w:t>
      </w:r>
      <w:r w:rsidRPr="00AF1EC6">
        <w:rPr>
          <w:rFonts w:ascii="VangRoman" w:hAnsi="VangRoman" w:cs="VangRoman"/>
          <w:sz w:val="23"/>
          <w:szCs w:val="23"/>
        </w:rPr>
        <w:t xml:space="preserve">. Infatti viene assunto come </w:t>
      </w:r>
      <w:r w:rsidRPr="00AF1EC6">
        <w:rPr>
          <w:rFonts w:ascii="VangRoman" w:hAnsi="VangRoman" w:cs="VangRoman"/>
          <w:sz w:val="23"/>
          <w:szCs w:val="23"/>
          <w:u w:val="single"/>
        </w:rPr>
        <w:t>indicatore per verificare la convergenza delle economie dei paesi membri dell’Unione europea</w:t>
      </w:r>
      <w:r w:rsidRPr="00AF1EC6">
        <w:rPr>
          <w:rFonts w:ascii="VangRoman" w:hAnsi="VangRoman" w:cs="VangRoman"/>
          <w:sz w:val="23"/>
          <w:szCs w:val="23"/>
        </w:rPr>
        <w:t>. Tale indice viene calcolato e pubblicato dall’</w:t>
      </w:r>
      <w:proofErr w:type="spellStart"/>
      <w:r w:rsidRPr="00AF1EC6">
        <w:rPr>
          <w:rFonts w:ascii="VangMatto" w:hAnsi="VangMatto" w:cs="VangMatto"/>
          <w:sz w:val="23"/>
          <w:szCs w:val="23"/>
        </w:rPr>
        <w:t>istat</w:t>
      </w:r>
      <w:proofErr w:type="spellEnd"/>
      <w:r w:rsidRPr="00AF1EC6">
        <w:rPr>
          <w:rFonts w:ascii="VangMatto" w:hAnsi="VangMatto" w:cs="VangMatto"/>
          <w:sz w:val="23"/>
          <w:szCs w:val="23"/>
        </w:rPr>
        <w:t xml:space="preserve"> </w:t>
      </w:r>
      <w:r w:rsidRPr="00AF1EC6">
        <w:rPr>
          <w:rFonts w:ascii="VangRoman" w:hAnsi="VangRoman" w:cs="VangRoman"/>
          <w:sz w:val="23"/>
          <w:szCs w:val="23"/>
        </w:rPr>
        <w:t>e inviato all’Eurostat mensilmente secondo un calendario prefissato. L’Eurostat a sua volta diffonde gli indici armonizzati dei singoli paesi dell’</w:t>
      </w:r>
      <w:proofErr w:type="spellStart"/>
      <w:r w:rsidRPr="00AF1EC6">
        <w:rPr>
          <w:rFonts w:ascii="VangMatto" w:hAnsi="VangMatto" w:cs="VangMatto"/>
          <w:sz w:val="23"/>
          <w:szCs w:val="23"/>
        </w:rPr>
        <w:t>ue</w:t>
      </w:r>
      <w:proofErr w:type="spellEnd"/>
      <w:r w:rsidRPr="00AF1EC6">
        <w:rPr>
          <w:rFonts w:ascii="VangMatto" w:hAnsi="VangMatto" w:cs="VangMatto"/>
          <w:sz w:val="23"/>
          <w:szCs w:val="23"/>
        </w:rPr>
        <w:t xml:space="preserve"> </w:t>
      </w:r>
      <w:r w:rsidRPr="00AF1EC6">
        <w:rPr>
          <w:rFonts w:ascii="VangRoman" w:hAnsi="VangRoman" w:cs="VangRoman"/>
          <w:sz w:val="23"/>
          <w:szCs w:val="23"/>
        </w:rPr>
        <w:t>ed elabora e diffonde l’indice sintetico europeo, calcolato sulla base dei primi.</w:t>
      </w:r>
    </w:p>
    <w:p w:rsidR="00B7534A" w:rsidRDefault="00B7534A" w:rsidP="00B7534A">
      <w:pPr>
        <w:autoSpaceDE w:val="0"/>
        <w:autoSpaceDN w:val="0"/>
        <w:adjustRightInd w:val="0"/>
        <w:spacing w:after="0" w:line="240" w:lineRule="auto"/>
        <w:rPr>
          <w:rFonts w:ascii="AgeInTexNormal" w:hAnsi="AgeInTexNormal" w:cs="AgeInTexNormal"/>
          <w:sz w:val="19"/>
          <w:szCs w:val="19"/>
        </w:rPr>
      </w:pPr>
      <w:r>
        <w:rPr>
          <w:rFonts w:ascii="AgeInTexNormal" w:hAnsi="AgeInTexNormal" w:cs="AgeInTexNormal"/>
          <w:sz w:val="19"/>
          <w:szCs w:val="19"/>
        </w:rPr>
        <w:t xml:space="preserve"> </w:t>
      </w:r>
    </w:p>
    <w:p w:rsidR="00B7534A" w:rsidRDefault="00B7534A" w:rsidP="00B7534A">
      <w:pPr>
        <w:autoSpaceDE w:val="0"/>
        <w:autoSpaceDN w:val="0"/>
        <w:adjustRightInd w:val="0"/>
        <w:spacing w:after="0" w:line="240" w:lineRule="auto"/>
        <w:rPr>
          <w:rFonts w:ascii="AgeInTexNormal" w:hAnsi="AgeInTexNormal" w:cs="AgeInTexNormal"/>
          <w:b/>
          <w:sz w:val="19"/>
          <w:szCs w:val="19"/>
        </w:rPr>
      </w:pPr>
    </w:p>
    <w:p w:rsidR="00B7534A" w:rsidRDefault="00B7534A" w:rsidP="00B7534A">
      <w:pPr>
        <w:autoSpaceDE w:val="0"/>
        <w:autoSpaceDN w:val="0"/>
        <w:adjustRightInd w:val="0"/>
        <w:spacing w:after="0" w:line="240" w:lineRule="auto"/>
        <w:rPr>
          <w:rFonts w:ascii="AgeInTexNormal" w:hAnsi="AgeInTexNormal" w:cs="AgeInTexNormal"/>
          <w:b/>
          <w:sz w:val="19"/>
          <w:szCs w:val="19"/>
        </w:rPr>
      </w:pPr>
    </w:p>
    <w:p w:rsidR="00B7534A" w:rsidRDefault="00B7534A" w:rsidP="00B7534A">
      <w:pPr>
        <w:autoSpaceDE w:val="0"/>
        <w:autoSpaceDN w:val="0"/>
        <w:adjustRightInd w:val="0"/>
        <w:spacing w:after="0" w:line="240" w:lineRule="auto"/>
        <w:rPr>
          <w:rFonts w:ascii="AgeInTexNormal" w:hAnsi="AgeInTexNormal" w:cs="AgeInTexNormal"/>
          <w:b/>
          <w:sz w:val="19"/>
          <w:szCs w:val="19"/>
        </w:rPr>
      </w:pPr>
    </w:p>
    <w:p w:rsidR="00B7534A" w:rsidRDefault="00B7534A" w:rsidP="00B7534A">
      <w:pPr>
        <w:autoSpaceDE w:val="0"/>
        <w:autoSpaceDN w:val="0"/>
        <w:adjustRightInd w:val="0"/>
        <w:spacing w:after="0" w:line="240" w:lineRule="auto"/>
        <w:rPr>
          <w:rFonts w:ascii="AgeInTexNormal" w:hAnsi="AgeInTexNormal" w:cs="AgeInTexNormal"/>
          <w:b/>
          <w:sz w:val="19"/>
          <w:szCs w:val="19"/>
        </w:rPr>
      </w:pPr>
    </w:p>
    <w:p w:rsidR="00B7534A" w:rsidRDefault="00B7534A" w:rsidP="00B7534A">
      <w:pPr>
        <w:autoSpaceDE w:val="0"/>
        <w:autoSpaceDN w:val="0"/>
        <w:adjustRightInd w:val="0"/>
        <w:spacing w:after="0" w:line="240" w:lineRule="auto"/>
        <w:rPr>
          <w:rFonts w:ascii="AgeInTexNormal" w:hAnsi="AgeInTexNormal" w:cs="AgeInTexNormal"/>
          <w:b/>
          <w:sz w:val="19"/>
          <w:szCs w:val="19"/>
        </w:rPr>
      </w:pPr>
    </w:p>
    <w:p w:rsidR="00B7534A" w:rsidRPr="009D008B" w:rsidRDefault="00B7534A" w:rsidP="00B7534A">
      <w:pPr>
        <w:autoSpaceDE w:val="0"/>
        <w:autoSpaceDN w:val="0"/>
        <w:adjustRightInd w:val="0"/>
        <w:spacing w:after="0" w:line="240" w:lineRule="auto"/>
        <w:rPr>
          <w:rFonts w:ascii="AgeInTexNormal" w:hAnsi="AgeInTexNormal" w:cs="AgeInTexNormal"/>
          <w:b/>
          <w:sz w:val="19"/>
          <w:szCs w:val="19"/>
        </w:rPr>
      </w:pPr>
      <w:r w:rsidRPr="009D008B">
        <w:rPr>
          <w:rFonts w:ascii="AgeInTexNormal" w:hAnsi="AgeInTexNormal" w:cs="AgeInTexNormal"/>
          <w:b/>
          <w:sz w:val="19"/>
          <w:szCs w:val="19"/>
        </w:rPr>
        <w:t xml:space="preserve">Differenze fra i tre indici </w:t>
      </w:r>
    </w:p>
    <w:p w:rsidR="00B7534A" w:rsidRDefault="00B7534A" w:rsidP="00B7534A">
      <w:pPr>
        <w:autoSpaceDE w:val="0"/>
        <w:autoSpaceDN w:val="0"/>
        <w:adjustRightInd w:val="0"/>
        <w:spacing w:after="0" w:line="240" w:lineRule="auto"/>
        <w:rPr>
          <w:rFonts w:ascii="AgeInTexNormal" w:hAnsi="AgeInTexNormal" w:cs="AgeInTexNormal"/>
          <w:sz w:val="19"/>
          <w:szCs w:val="19"/>
        </w:rPr>
      </w:pPr>
    </w:p>
    <w:p w:rsidR="00B7534A" w:rsidRPr="00AE7B7C" w:rsidRDefault="00B7534A" w:rsidP="00B7534A">
      <w:pPr>
        <w:autoSpaceDE w:val="0"/>
        <w:autoSpaceDN w:val="0"/>
        <w:adjustRightInd w:val="0"/>
        <w:spacing w:after="0" w:line="240" w:lineRule="auto"/>
        <w:rPr>
          <w:rFonts w:ascii="VangRoman" w:hAnsi="VangRoman" w:cs="VangRoman"/>
          <w:sz w:val="23"/>
          <w:szCs w:val="23"/>
          <w:u w:val="single"/>
        </w:rPr>
      </w:pPr>
      <w:r>
        <w:rPr>
          <w:rFonts w:ascii="VangRoman" w:hAnsi="VangRoman" w:cs="VangRoman"/>
          <w:sz w:val="23"/>
          <w:szCs w:val="23"/>
        </w:rPr>
        <w:lastRenderedPageBreak/>
        <w:t xml:space="preserve">I tre indici si basano su </w:t>
      </w:r>
      <w:r>
        <w:rPr>
          <w:rFonts w:ascii="AGaramondAge-Semibold" w:hAnsi="AGaramondAge-Semibold" w:cs="AGaramondAge-Semibold"/>
          <w:sz w:val="23"/>
          <w:szCs w:val="23"/>
        </w:rPr>
        <w:t xml:space="preserve">un’unica rilevazione </w:t>
      </w:r>
      <w:r>
        <w:rPr>
          <w:rFonts w:ascii="VangRoman" w:hAnsi="VangRoman" w:cs="VangRoman"/>
          <w:sz w:val="23"/>
          <w:szCs w:val="23"/>
        </w:rPr>
        <w:t xml:space="preserve">e sulla </w:t>
      </w:r>
      <w:r>
        <w:rPr>
          <w:rFonts w:ascii="AGaramondAge-Semibold" w:hAnsi="AGaramondAge-Semibold" w:cs="AGaramondAge-Semibold"/>
          <w:sz w:val="23"/>
          <w:szCs w:val="23"/>
        </w:rPr>
        <w:t xml:space="preserve">stessa metodologia </w:t>
      </w:r>
      <w:r>
        <w:rPr>
          <w:rFonts w:ascii="VangRoman" w:hAnsi="VangRoman" w:cs="VangRoman"/>
          <w:sz w:val="23"/>
          <w:szCs w:val="23"/>
        </w:rPr>
        <w:t xml:space="preserve">di calcolo, condivisa a livello internazionale. </w:t>
      </w:r>
      <w:proofErr w:type="spellStart"/>
      <w:r>
        <w:rPr>
          <w:rFonts w:ascii="VangMatto" w:hAnsi="VangMatto" w:cs="VangMatto"/>
          <w:sz w:val="23"/>
          <w:szCs w:val="23"/>
        </w:rPr>
        <w:t>nic</w:t>
      </w:r>
      <w:proofErr w:type="spellEnd"/>
      <w:r>
        <w:rPr>
          <w:rFonts w:ascii="VangMatto" w:hAnsi="VangMatto" w:cs="VangMatto"/>
          <w:sz w:val="23"/>
          <w:szCs w:val="23"/>
        </w:rPr>
        <w:t xml:space="preserve"> </w:t>
      </w:r>
      <w:r>
        <w:rPr>
          <w:rFonts w:ascii="VangRoman" w:hAnsi="VangRoman" w:cs="VangRoman"/>
          <w:sz w:val="23"/>
          <w:szCs w:val="23"/>
        </w:rPr>
        <w:t xml:space="preserve">e </w:t>
      </w:r>
      <w:proofErr w:type="spellStart"/>
      <w:r>
        <w:rPr>
          <w:rFonts w:ascii="VangMatto" w:hAnsi="VangMatto" w:cs="VangMatto"/>
          <w:sz w:val="23"/>
          <w:szCs w:val="23"/>
        </w:rPr>
        <w:t>foi</w:t>
      </w:r>
      <w:proofErr w:type="spellEnd"/>
      <w:r>
        <w:rPr>
          <w:rFonts w:ascii="VangMatto" w:hAnsi="VangMatto" w:cs="VangMatto"/>
          <w:sz w:val="23"/>
          <w:szCs w:val="23"/>
        </w:rPr>
        <w:t xml:space="preserve"> </w:t>
      </w:r>
      <w:r>
        <w:rPr>
          <w:rFonts w:ascii="VangRoman" w:hAnsi="VangRoman" w:cs="VangRoman"/>
          <w:sz w:val="23"/>
          <w:szCs w:val="23"/>
        </w:rPr>
        <w:t xml:space="preserve">si basano sullo </w:t>
      </w:r>
      <w:r>
        <w:rPr>
          <w:rFonts w:ascii="AGaramondAge-Semibold" w:hAnsi="AGaramondAge-Semibold" w:cs="AGaramondAge-Semibold"/>
          <w:sz w:val="23"/>
          <w:szCs w:val="23"/>
        </w:rPr>
        <w:t>stesso paniere</w:t>
      </w:r>
      <w:r>
        <w:rPr>
          <w:rFonts w:ascii="VangRoman" w:hAnsi="VangRoman" w:cs="VangRoman"/>
          <w:sz w:val="23"/>
          <w:szCs w:val="23"/>
        </w:rPr>
        <w:t xml:space="preserve">, </w:t>
      </w:r>
      <w:r w:rsidRPr="00AE7B7C">
        <w:rPr>
          <w:rFonts w:ascii="VangRoman" w:hAnsi="VangRoman" w:cs="VangRoman"/>
          <w:sz w:val="23"/>
          <w:szCs w:val="23"/>
          <w:u w:val="single"/>
        </w:rPr>
        <w:t xml:space="preserve">ma il peso attribuito a ogni bene o servizio è diverso, a seconda dell’importanza che questi rivestono nei consumi della popolazione di riferimento. </w:t>
      </w:r>
    </w:p>
    <w:p w:rsidR="00B7534A" w:rsidRPr="00AF1EC6" w:rsidRDefault="00B7534A" w:rsidP="00B7534A">
      <w:pPr>
        <w:pStyle w:val="Paragrafoelenco"/>
        <w:numPr>
          <w:ilvl w:val="0"/>
          <w:numId w:val="5"/>
        </w:numPr>
        <w:autoSpaceDE w:val="0"/>
        <w:autoSpaceDN w:val="0"/>
        <w:adjustRightInd w:val="0"/>
        <w:spacing w:after="0" w:line="240" w:lineRule="auto"/>
        <w:rPr>
          <w:rFonts w:ascii="VangRoman" w:hAnsi="VangRoman" w:cs="VangRoman"/>
          <w:sz w:val="23"/>
          <w:szCs w:val="23"/>
        </w:rPr>
      </w:pPr>
      <w:r w:rsidRPr="00AF1EC6">
        <w:rPr>
          <w:rFonts w:ascii="VangRoman" w:hAnsi="VangRoman" w:cs="VangRoman"/>
          <w:sz w:val="23"/>
          <w:szCs w:val="23"/>
        </w:rPr>
        <w:t xml:space="preserve">Per il </w:t>
      </w:r>
      <w:r>
        <w:rPr>
          <w:rFonts w:ascii="VangMatto" w:hAnsi="VangMatto" w:cs="VangMatto"/>
          <w:b/>
          <w:sz w:val="23"/>
          <w:szCs w:val="23"/>
        </w:rPr>
        <w:t>NIC</w:t>
      </w:r>
      <w:r w:rsidRPr="00AF1EC6">
        <w:rPr>
          <w:rFonts w:ascii="VangMatto" w:hAnsi="VangMatto" w:cs="VangMatto"/>
          <w:sz w:val="23"/>
          <w:szCs w:val="23"/>
        </w:rPr>
        <w:t xml:space="preserve"> </w:t>
      </w:r>
      <w:r w:rsidRPr="00AF1EC6">
        <w:rPr>
          <w:rFonts w:ascii="VangRoman" w:hAnsi="VangRoman" w:cs="VangRoman"/>
          <w:sz w:val="23"/>
          <w:szCs w:val="23"/>
        </w:rPr>
        <w:t xml:space="preserve">la popolazione di riferimento è l’intera popolazione italiana,ovvero la grande famiglia di oltre 57 milioni di persone; </w:t>
      </w:r>
    </w:p>
    <w:p w:rsidR="00B7534A" w:rsidRDefault="00B7534A" w:rsidP="00B7534A">
      <w:pPr>
        <w:pStyle w:val="Paragrafoelenco"/>
        <w:numPr>
          <w:ilvl w:val="0"/>
          <w:numId w:val="5"/>
        </w:numPr>
        <w:autoSpaceDE w:val="0"/>
        <w:autoSpaceDN w:val="0"/>
        <w:adjustRightInd w:val="0"/>
        <w:spacing w:after="0" w:line="240" w:lineRule="auto"/>
        <w:rPr>
          <w:rFonts w:ascii="VangRoman" w:hAnsi="VangRoman" w:cs="VangRoman"/>
          <w:sz w:val="23"/>
          <w:szCs w:val="23"/>
        </w:rPr>
      </w:pPr>
      <w:r w:rsidRPr="00AF1EC6">
        <w:rPr>
          <w:rFonts w:ascii="VangRoman" w:hAnsi="VangRoman" w:cs="VangRoman"/>
          <w:sz w:val="23"/>
          <w:szCs w:val="23"/>
        </w:rPr>
        <w:t xml:space="preserve">per il </w:t>
      </w:r>
      <w:r>
        <w:rPr>
          <w:rFonts w:ascii="VangMatto" w:hAnsi="VangMatto" w:cs="VangMatto"/>
          <w:b/>
          <w:sz w:val="23"/>
          <w:szCs w:val="23"/>
        </w:rPr>
        <w:t>FOI</w:t>
      </w:r>
      <w:r w:rsidRPr="00AF1EC6">
        <w:rPr>
          <w:rFonts w:ascii="VangMatto" w:hAnsi="VangMatto" w:cs="VangMatto"/>
          <w:sz w:val="23"/>
          <w:szCs w:val="23"/>
        </w:rPr>
        <w:t xml:space="preserve"> </w:t>
      </w:r>
      <w:r w:rsidRPr="00AF1EC6">
        <w:rPr>
          <w:rFonts w:ascii="VangRoman" w:hAnsi="VangRoman" w:cs="VangRoman"/>
          <w:sz w:val="23"/>
          <w:szCs w:val="23"/>
        </w:rPr>
        <w:t xml:space="preserve">è l’insieme di famiglie che fanno capo a un operaio o un impiegato. </w:t>
      </w:r>
    </w:p>
    <w:p w:rsidR="00B7534A" w:rsidRPr="005B10AB" w:rsidRDefault="00B7534A" w:rsidP="00B7534A">
      <w:pPr>
        <w:autoSpaceDE w:val="0"/>
        <w:autoSpaceDN w:val="0"/>
        <w:adjustRightInd w:val="0"/>
        <w:spacing w:after="0" w:line="240" w:lineRule="auto"/>
        <w:rPr>
          <w:rFonts w:ascii="VangRoman" w:hAnsi="VangRoman" w:cs="VangRoman"/>
          <w:sz w:val="23"/>
          <w:szCs w:val="23"/>
        </w:rPr>
      </w:pPr>
      <w:r>
        <w:rPr>
          <w:rFonts w:ascii="VangRoman" w:hAnsi="VangRoman" w:cs="VangRoman"/>
          <w:sz w:val="23"/>
          <w:szCs w:val="23"/>
        </w:rPr>
        <w:t>I  due indici nazionali, ai sensi della legge 5.2.1992, n.81 , sono espressi entrambi in base 1995 e sono calcolati comprendendo o escludendo i tabacchi</w:t>
      </w:r>
    </w:p>
    <w:p w:rsidR="00B7534A" w:rsidRDefault="00B7534A" w:rsidP="00B7534A">
      <w:pPr>
        <w:autoSpaceDE w:val="0"/>
        <w:autoSpaceDN w:val="0"/>
        <w:adjustRightInd w:val="0"/>
        <w:spacing w:after="0" w:line="240" w:lineRule="auto"/>
        <w:rPr>
          <w:rFonts w:ascii="VangRoman" w:hAnsi="VangRoman" w:cs="VangRoman"/>
          <w:sz w:val="23"/>
          <w:szCs w:val="23"/>
        </w:rPr>
      </w:pPr>
      <w:r>
        <w:rPr>
          <w:rFonts w:ascii="VangRoman" w:hAnsi="VangRoman" w:cs="VangRoman"/>
          <w:sz w:val="23"/>
          <w:szCs w:val="23"/>
        </w:rPr>
        <w:t xml:space="preserve">Un’ulteriore differenziazione fra i tre indici riguarda il </w:t>
      </w:r>
      <w:r w:rsidRPr="00AF1EC6">
        <w:rPr>
          <w:rFonts w:ascii="AGaramondAge-Semibold" w:hAnsi="AGaramondAge-Semibold" w:cs="AGaramondAge-Semibold"/>
          <w:sz w:val="23"/>
          <w:szCs w:val="23"/>
          <w:u w:val="single"/>
        </w:rPr>
        <w:t xml:space="preserve">concetto di prezzo </w:t>
      </w:r>
      <w:r w:rsidRPr="00AF1EC6">
        <w:rPr>
          <w:rFonts w:ascii="VangRoman" w:hAnsi="VangRoman" w:cs="VangRoman"/>
          <w:sz w:val="23"/>
          <w:szCs w:val="23"/>
          <w:u w:val="single"/>
        </w:rPr>
        <w:t>considerato</w:t>
      </w:r>
      <w:r>
        <w:rPr>
          <w:rFonts w:ascii="VangRoman" w:hAnsi="VangRoman" w:cs="VangRoman"/>
          <w:sz w:val="23"/>
          <w:szCs w:val="23"/>
        </w:rPr>
        <w:t>:</w:t>
      </w:r>
    </w:p>
    <w:p w:rsidR="00B7534A" w:rsidRDefault="00B7534A" w:rsidP="00B7534A">
      <w:pPr>
        <w:pStyle w:val="Paragrafoelenco"/>
        <w:numPr>
          <w:ilvl w:val="0"/>
          <w:numId w:val="6"/>
        </w:numPr>
        <w:autoSpaceDE w:val="0"/>
        <w:autoSpaceDN w:val="0"/>
        <w:adjustRightInd w:val="0"/>
        <w:spacing w:after="0" w:line="240" w:lineRule="auto"/>
        <w:rPr>
          <w:rFonts w:ascii="VangRoman" w:hAnsi="VangRoman" w:cs="VangRoman"/>
          <w:sz w:val="23"/>
          <w:szCs w:val="23"/>
        </w:rPr>
      </w:pPr>
      <w:r w:rsidRPr="00AF1EC6">
        <w:rPr>
          <w:rFonts w:ascii="VangRoman" w:hAnsi="VangRoman" w:cs="VangRoman"/>
          <w:sz w:val="23"/>
          <w:szCs w:val="23"/>
        </w:rPr>
        <w:t xml:space="preserve">il </w:t>
      </w:r>
      <w:r>
        <w:rPr>
          <w:rFonts w:ascii="VangMatto" w:hAnsi="VangMatto" w:cs="VangMatto"/>
          <w:b/>
          <w:sz w:val="23"/>
          <w:szCs w:val="23"/>
        </w:rPr>
        <w:t>NIC</w:t>
      </w:r>
      <w:r w:rsidRPr="00AF1EC6">
        <w:rPr>
          <w:rFonts w:ascii="VangMatto" w:hAnsi="VangMatto" w:cs="VangMatto"/>
          <w:sz w:val="23"/>
          <w:szCs w:val="23"/>
        </w:rPr>
        <w:t xml:space="preserve"> </w:t>
      </w:r>
      <w:r w:rsidRPr="00AF1EC6">
        <w:rPr>
          <w:rFonts w:ascii="VangRoman" w:hAnsi="VangRoman" w:cs="VangRoman"/>
          <w:sz w:val="23"/>
          <w:szCs w:val="23"/>
        </w:rPr>
        <w:t xml:space="preserve">e il </w:t>
      </w:r>
      <w:r>
        <w:rPr>
          <w:rFonts w:ascii="VangMatto" w:hAnsi="VangMatto" w:cs="VangMatto"/>
          <w:b/>
          <w:sz w:val="23"/>
          <w:szCs w:val="23"/>
        </w:rPr>
        <w:t>FOI</w:t>
      </w:r>
      <w:r w:rsidRPr="00AF1EC6">
        <w:rPr>
          <w:rFonts w:ascii="VangMatto" w:hAnsi="VangMatto" w:cs="VangMatto"/>
          <w:sz w:val="23"/>
          <w:szCs w:val="23"/>
        </w:rPr>
        <w:t xml:space="preserve"> </w:t>
      </w:r>
      <w:r w:rsidRPr="00AF1EC6">
        <w:rPr>
          <w:rFonts w:ascii="VangRoman" w:hAnsi="VangRoman" w:cs="VangRoman"/>
          <w:sz w:val="23"/>
          <w:szCs w:val="23"/>
        </w:rPr>
        <w:t xml:space="preserve">considerano sempre il </w:t>
      </w:r>
      <w:r w:rsidRPr="00AF1EC6">
        <w:rPr>
          <w:rFonts w:ascii="VangRoman" w:hAnsi="VangRoman" w:cs="VangRoman"/>
          <w:sz w:val="23"/>
          <w:szCs w:val="23"/>
          <w:u w:val="single"/>
        </w:rPr>
        <w:t>prezzo pieno di vendita</w:t>
      </w:r>
      <w:r w:rsidRPr="00AF1EC6">
        <w:rPr>
          <w:rFonts w:ascii="VangRoman" w:hAnsi="VangRoman" w:cs="VangRoman"/>
          <w:sz w:val="23"/>
          <w:szCs w:val="23"/>
        </w:rPr>
        <w:t>.</w:t>
      </w:r>
    </w:p>
    <w:p w:rsidR="00B7534A" w:rsidRDefault="00B7534A" w:rsidP="00B7534A">
      <w:pPr>
        <w:pStyle w:val="Paragrafoelenco"/>
        <w:numPr>
          <w:ilvl w:val="0"/>
          <w:numId w:val="6"/>
        </w:numPr>
        <w:autoSpaceDE w:val="0"/>
        <w:autoSpaceDN w:val="0"/>
        <w:adjustRightInd w:val="0"/>
        <w:spacing w:after="0" w:line="240" w:lineRule="auto"/>
        <w:rPr>
          <w:rFonts w:ascii="VangRoman" w:hAnsi="VangRoman" w:cs="VangRoman"/>
          <w:sz w:val="23"/>
          <w:szCs w:val="23"/>
        </w:rPr>
      </w:pPr>
      <w:r w:rsidRPr="00AF1EC6">
        <w:rPr>
          <w:rFonts w:ascii="VangRoman" w:hAnsi="VangRoman" w:cs="VangRoman"/>
          <w:sz w:val="23"/>
          <w:szCs w:val="23"/>
        </w:rPr>
        <w:t xml:space="preserve"> L’</w:t>
      </w:r>
      <w:r w:rsidRPr="005C288A">
        <w:rPr>
          <w:rFonts w:ascii="VangMatto" w:hAnsi="VangMatto" w:cs="VangMatto"/>
          <w:b/>
          <w:sz w:val="23"/>
          <w:szCs w:val="23"/>
        </w:rPr>
        <w:t xml:space="preserve"> IPCA</w:t>
      </w:r>
      <w:r w:rsidRPr="00AF1EC6">
        <w:rPr>
          <w:rFonts w:ascii="VangMatto" w:hAnsi="VangMatto" w:cs="VangMatto"/>
          <w:sz w:val="23"/>
          <w:szCs w:val="23"/>
        </w:rPr>
        <w:t xml:space="preserve"> </w:t>
      </w:r>
      <w:r w:rsidRPr="00AF1EC6">
        <w:rPr>
          <w:rFonts w:ascii="VangRoman" w:hAnsi="VangRoman" w:cs="VangRoman"/>
          <w:sz w:val="23"/>
          <w:szCs w:val="23"/>
        </w:rPr>
        <w:t xml:space="preserve">si riferisce invece al </w:t>
      </w:r>
      <w:r w:rsidRPr="00AF1EC6">
        <w:rPr>
          <w:rFonts w:ascii="VangRoman" w:hAnsi="VangRoman" w:cs="VangRoman"/>
          <w:b/>
          <w:sz w:val="23"/>
          <w:szCs w:val="23"/>
        </w:rPr>
        <w:t>prezzo effettivamente pagato dal consumatore</w:t>
      </w:r>
      <w:r>
        <w:rPr>
          <w:rFonts w:ascii="VangRoman" w:hAnsi="VangRoman" w:cs="VangRoman"/>
          <w:sz w:val="23"/>
          <w:szCs w:val="23"/>
        </w:rPr>
        <w:t>, viene attualmente calcolato con anno base 2005.</w:t>
      </w:r>
    </w:p>
    <w:p w:rsidR="00B7534A" w:rsidRDefault="00B7534A" w:rsidP="00B7534A">
      <w:pPr>
        <w:pStyle w:val="Paragrafoelenco"/>
        <w:autoSpaceDE w:val="0"/>
        <w:autoSpaceDN w:val="0"/>
        <w:adjustRightInd w:val="0"/>
        <w:spacing w:after="0" w:line="240" w:lineRule="auto"/>
        <w:rPr>
          <w:rFonts w:ascii="VangRoman" w:hAnsi="VangRoman" w:cs="VangRoman"/>
          <w:sz w:val="23"/>
          <w:szCs w:val="23"/>
        </w:rPr>
      </w:pPr>
      <w:r w:rsidRPr="00AF1EC6">
        <w:rPr>
          <w:rFonts w:ascii="VangRoman" w:hAnsi="VangRoman" w:cs="VangRoman"/>
          <w:sz w:val="23"/>
          <w:szCs w:val="23"/>
        </w:rPr>
        <w:t xml:space="preserve"> Ad esempio, nel caso dei medicinali, mentre per gli indici nazionali viene considerato il prezzo pieno del prodotto, per quello armonizzato europeo il prezzo di riferimento è rappresentato dalla quota effettivamente a carico del consumatore (il ticket).</w:t>
      </w:r>
    </w:p>
    <w:p w:rsidR="00B7534A" w:rsidRDefault="00B7534A" w:rsidP="00B7534A">
      <w:pPr>
        <w:pStyle w:val="Paragrafoelenco"/>
        <w:autoSpaceDE w:val="0"/>
        <w:autoSpaceDN w:val="0"/>
        <w:adjustRightInd w:val="0"/>
        <w:spacing w:after="0" w:line="240" w:lineRule="auto"/>
        <w:rPr>
          <w:rFonts w:ascii="VangRoman" w:hAnsi="VangRoman" w:cs="VangRoman"/>
          <w:sz w:val="23"/>
          <w:szCs w:val="23"/>
        </w:rPr>
      </w:pPr>
      <w:r w:rsidRPr="00AF1EC6">
        <w:rPr>
          <w:rFonts w:ascii="VangRoman" w:hAnsi="VangRoman" w:cs="VangRoman"/>
          <w:sz w:val="23"/>
          <w:szCs w:val="23"/>
        </w:rPr>
        <w:t xml:space="preserve"> Inoltre, l’</w:t>
      </w:r>
      <w:proofErr w:type="spellStart"/>
      <w:r w:rsidRPr="00AF1EC6">
        <w:rPr>
          <w:rFonts w:ascii="VangMatto" w:hAnsi="VangMatto" w:cs="VangMatto"/>
          <w:sz w:val="23"/>
          <w:szCs w:val="23"/>
        </w:rPr>
        <w:t>ipca</w:t>
      </w:r>
      <w:proofErr w:type="spellEnd"/>
      <w:r w:rsidRPr="00AF1EC6">
        <w:rPr>
          <w:rFonts w:ascii="VangMatto" w:hAnsi="VangMatto" w:cs="VangMatto"/>
          <w:sz w:val="23"/>
          <w:szCs w:val="23"/>
        </w:rPr>
        <w:t xml:space="preserve"> </w:t>
      </w:r>
      <w:r w:rsidRPr="00AF1EC6">
        <w:rPr>
          <w:rFonts w:ascii="VangRoman" w:hAnsi="VangRoman" w:cs="VangRoman"/>
          <w:sz w:val="23"/>
          <w:szCs w:val="23"/>
        </w:rPr>
        <w:t>tiene conto anche delle riduzioni temporanee di prezzo (saldi e promozioni).</w:t>
      </w:r>
    </w:p>
    <w:p w:rsidR="00B7534A" w:rsidRPr="00AF1EC6" w:rsidRDefault="00B7534A" w:rsidP="00B7534A">
      <w:pPr>
        <w:pStyle w:val="Paragrafoelenco"/>
        <w:autoSpaceDE w:val="0"/>
        <w:autoSpaceDN w:val="0"/>
        <w:adjustRightInd w:val="0"/>
        <w:spacing w:after="0" w:line="240" w:lineRule="auto"/>
        <w:rPr>
          <w:rFonts w:ascii="VangRoman" w:hAnsi="VangRoman" w:cs="VangRoman"/>
          <w:sz w:val="23"/>
          <w:szCs w:val="23"/>
        </w:rPr>
      </w:pPr>
    </w:p>
    <w:p w:rsidR="00B7534A" w:rsidRDefault="00B7534A" w:rsidP="00B7534A">
      <w:pPr>
        <w:autoSpaceDE w:val="0"/>
        <w:autoSpaceDN w:val="0"/>
        <w:adjustRightInd w:val="0"/>
        <w:spacing w:after="0" w:line="240" w:lineRule="auto"/>
        <w:rPr>
          <w:rFonts w:ascii="VangRoman" w:hAnsi="VangRoman" w:cs="VangRoman"/>
          <w:sz w:val="23"/>
          <w:szCs w:val="23"/>
        </w:rPr>
      </w:pPr>
      <w:r>
        <w:rPr>
          <w:rFonts w:ascii="VangRoman" w:hAnsi="VangRoman" w:cs="VangRoman"/>
          <w:sz w:val="23"/>
          <w:szCs w:val="23"/>
        </w:rPr>
        <w:t>Importante è il significato che va attribuito agli indici dei prezzi al consumo.</w:t>
      </w:r>
    </w:p>
    <w:p w:rsidR="00B7534A" w:rsidRDefault="00B7534A" w:rsidP="00B7534A">
      <w:pPr>
        <w:autoSpaceDE w:val="0"/>
        <w:autoSpaceDN w:val="0"/>
        <w:adjustRightInd w:val="0"/>
        <w:spacing w:after="0" w:line="240" w:lineRule="auto"/>
        <w:rPr>
          <w:rFonts w:ascii="AgeInTexNormal" w:hAnsi="AgeInTexNormal" w:cs="AgeInTexNormal"/>
          <w:sz w:val="19"/>
          <w:szCs w:val="19"/>
        </w:rPr>
      </w:pPr>
    </w:p>
    <w:p w:rsidR="00B7534A" w:rsidRPr="009D008B" w:rsidRDefault="00B7534A" w:rsidP="00B7534A">
      <w:pPr>
        <w:autoSpaceDE w:val="0"/>
        <w:autoSpaceDN w:val="0"/>
        <w:adjustRightInd w:val="0"/>
        <w:spacing w:after="0" w:line="240" w:lineRule="auto"/>
        <w:rPr>
          <w:rFonts w:ascii="AgeInTexNormal" w:hAnsi="AgeInTexNormal" w:cs="AgeInTexNormal"/>
          <w:b/>
          <w:sz w:val="19"/>
          <w:szCs w:val="19"/>
        </w:rPr>
      </w:pPr>
      <w:r w:rsidRPr="009D008B">
        <w:rPr>
          <w:rFonts w:ascii="AgeInTexNormal" w:hAnsi="AgeInTexNormal" w:cs="AgeInTexNormal"/>
          <w:b/>
          <w:sz w:val="19"/>
          <w:szCs w:val="19"/>
        </w:rPr>
        <w:t>Significato degli indici</w:t>
      </w:r>
    </w:p>
    <w:p w:rsidR="00B7534A" w:rsidRDefault="00B7534A" w:rsidP="00B7534A">
      <w:pPr>
        <w:autoSpaceDE w:val="0"/>
        <w:autoSpaceDN w:val="0"/>
        <w:adjustRightInd w:val="0"/>
        <w:spacing w:after="0" w:line="240" w:lineRule="auto"/>
        <w:rPr>
          <w:rFonts w:ascii="AgeInTexNormal" w:hAnsi="AgeInTexNormal" w:cs="AgeInTexNormal"/>
          <w:sz w:val="19"/>
          <w:szCs w:val="19"/>
        </w:rPr>
      </w:pPr>
    </w:p>
    <w:p w:rsidR="00B7534A" w:rsidRDefault="00B7534A" w:rsidP="00B7534A">
      <w:pPr>
        <w:autoSpaceDE w:val="0"/>
        <w:autoSpaceDN w:val="0"/>
        <w:adjustRightInd w:val="0"/>
        <w:spacing w:after="0" w:line="240" w:lineRule="auto"/>
        <w:rPr>
          <w:rFonts w:ascii="VangRoman" w:hAnsi="VangRoman" w:cs="VangRoman"/>
          <w:sz w:val="23"/>
          <w:szCs w:val="23"/>
        </w:rPr>
      </w:pPr>
      <w:r>
        <w:rPr>
          <w:rFonts w:ascii="VangRoman" w:hAnsi="VangRoman" w:cs="VangRoman"/>
          <w:sz w:val="23"/>
          <w:szCs w:val="23"/>
        </w:rPr>
        <w:t>Anzitutto, occorre ricordare che l’indice dei prezzi al consumo misura le variazioni dei prezzi dell’insieme dei beni e servizi acquistabili nel Paese.</w:t>
      </w:r>
    </w:p>
    <w:p w:rsidR="00B7534A" w:rsidRDefault="00B7534A" w:rsidP="00B7534A">
      <w:pPr>
        <w:autoSpaceDE w:val="0"/>
        <w:autoSpaceDN w:val="0"/>
        <w:adjustRightInd w:val="0"/>
        <w:spacing w:after="0" w:line="240" w:lineRule="auto"/>
        <w:rPr>
          <w:rFonts w:ascii="VangRoman" w:hAnsi="VangRoman" w:cs="VangRoman"/>
          <w:sz w:val="23"/>
          <w:szCs w:val="23"/>
        </w:rPr>
      </w:pPr>
    </w:p>
    <w:p w:rsidR="00B7534A" w:rsidRDefault="00B7534A" w:rsidP="00B7534A">
      <w:pPr>
        <w:autoSpaceDE w:val="0"/>
        <w:autoSpaceDN w:val="0"/>
        <w:adjustRightInd w:val="0"/>
        <w:spacing w:after="0" w:line="240" w:lineRule="auto"/>
        <w:rPr>
          <w:rFonts w:ascii="VangRoman" w:hAnsi="VangRoman" w:cs="VangRoman"/>
          <w:sz w:val="23"/>
          <w:szCs w:val="23"/>
        </w:rPr>
      </w:pPr>
      <w:r>
        <w:rPr>
          <w:rFonts w:ascii="VangRoman" w:hAnsi="VangRoman" w:cs="VangRoman"/>
          <w:sz w:val="23"/>
          <w:szCs w:val="23"/>
        </w:rPr>
        <w:t xml:space="preserve"> È sempre difficile, per il consumatore, riconoscere le variazioni di prezzo della propria spesa quotidiana in quelle riferite alla spesa complessiva della “grande famiglia Italia” e rappresentate dall’indice generale dei prezzi al consumo.</w:t>
      </w:r>
    </w:p>
    <w:p w:rsidR="00B7534A" w:rsidRDefault="00B7534A" w:rsidP="00B7534A">
      <w:pPr>
        <w:autoSpaceDE w:val="0"/>
        <w:autoSpaceDN w:val="0"/>
        <w:adjustRightInd w:val="0"/>
        <w:spacing w:after="0" w:line="240" w:lineRule="auto"/>
        <w:rPr>
          <w:rFonts w:ascii="VangRoman" w:hAnsi="VangRoman" w:cs="VangRoman"/>
          <w:sz w:val="23"/>
          <w:szCs w:val="23"/>
        </w:rPr>
      </w:pPr>
    </w:p>
    <w:p w:rsidR="00B7534A" w:rsidRDefault="00B7534A" w:rsidP="00B7534A">
      <w:pPr>
        <w:autoSpaceDE w:val="0"/>
        <w:autoSpaceDN w:val="0"/>
        <w:adjustRightInd w:val="0"/>
        <w:spacing w:after="0" w:line="240" w:lineRule="auto"/>
        <w:rPr>
          <w:rFonts w:ascii="VangRoman" w:hAnsi="VangRoman" w:cs="VangRoman"/>
          <w:sz w:val="23"/>
          <w:szCs w:val="23"/>
        </w:rPr>
      </w:pPr>
      <w:r>
        <w:rPr>
          <w:rFonts w:ascii="VangRoman" w:hAnsi="VangRoman" w:cs="VangRoman"/>
          <w:sz w:val="23"/>
          <w:szCs w:val="23"/>
        </w:rPr>
        <w:t xml:space="preserve"> Le ragioni della discrepanza fra variazioni di prezzo rilevate dall’</w:t>
      </w:r>
      <w:proofErr w:type="spellStart"/>
      <w:r>
        <w:rPr>
          <w:rFonts w:ascii="VangMatto" w:hAnsi="VangMatto" w:cs="VangMatto"/>
          <w:sz w:val="23"/>
          <w:szCs w:val="23"/>
        </w:rPr>
        <w:t>istat</w:t>
      </w:r>
      <w:proofErr w:type="spellEnd"/>
      <w:r>
        <w:rPr>
          <w:rFonts w:ascii="VangMatto" w:hAnsi="VangMatto" w:cs="VangMatto"/>
          <w:sz w:val="23"/>
          <w:szCs w:val="23"/>
        </w:rPr>
        <w:t xml:space="preserve"> </w:t>
      </w:r>
      <w:r>
        <w:rPr>
          <w:rFonts w:ascii="VangRoman" w:hAnsi="VangRoman" w:cs="VangRoman"/>
          <w:sz w:val="23"/>
          <w:szCs w:val="23"/>
        </w:rPr>
        <w:t>e variazioni percepite possono essere molteplici:</w:t>
      </w:r>
    </w:p>
    <w:p w:rsidR="00B7534A" w:rsidRDefault="00B7534A" w:rsidP="00B7534A">
      <w:pPr>
        <w:autoSpaceDE w:val="0"/>
        <w:autoSpaceDN w:val="0"/>
        <w:adjustRightInd w:val="0"/>
        <w:spacing w:after="0" w:line="240" w:lineRule="auto"/>
        <w:rPr>
          <w:rFonts w:ascii="VangRoman" w:hAnsi="VangRoman" w:cs="VangRoman"/>
          <w:sz w:val="23"/>
          <w:szCs w:val="23"/>
        </w:rPr>
      </w:pPr>
    </w:p>
    <w:p w:rsidR="00B7534A" w:rsidRPr="00AF1EC6" w:rsidRDefault="00B7534A" w:rsidP="00B7534A">
      <w:pPr>
        <w:pStyle w:val="Paragrafoelenco"/>
        <w:numPr>
          <w:ilvl w:val="0"/>
          <w:numId w:val="7"/>
        </w:numPr>
        <w:autoSpaceDE w:val="0"/>
        <w:autoSpaceDN w:val="0"/>
        <w:adjustRightInd w:val="0"/>
        <w:spacing w:after="0" w:line="240" w:lineRule="auto"/>
        <w:rPr>
          <w:rFonts w:ascii="VangRoman" w:hAnsi="VangRoman" w:cs="VangRoman"/>
          <w:sz w:val="23"/>
          <w:szCs w:val="23"/>
        </w:rPr>
      </w:pPr>
      <w:r w:rsidRPr="00AF1EC6">
        <w:rPr>
          <w:rFonts w:ascii="VangRoman" w:hAnsi="VangRoman" w:cs="VangRoman"/>
          <w:sz w:val="23"/>
          <w:szCs w:val="23"/>
        </w:rPr>
        <w:t>alcuni prodotti, che pure subiscono rincari significativi, hanno comunque una bassa incidenza sulla spesa media familiare e, di conseguenza, l’impatto degli aumenti di prezzo sul calcolo dell’indice generale è limitato.</w:t>
      </w:r>
    </w:p>
    <w:p w:rsidR="00B7534A" w:rsidRDefault="00B7534A" w:rsidP="00B7534A">
      <w:pPr>
        <w:autoSpaceDE w:val="0"/>
        <w:autoSpaceDN w:val="0"/>
        <w:adjustRightInd w:val="0"/>
        <w:spacing w:after="0" w:line="240" w:lineRule="auto"/>
        <w:ind w:left="405" w:firstLine="300"/>
        <w:rPr>
          <w:rFonts w:ascii="VangRoman" w:hAnsi="VangRoman" w:cs="VangRoman"/>
          <w:sz w:val="23"/>
          <w:szCs w:val="23"/>
        </w:rPr>
      </w:pPr>
      <w:r>
        <w:rPr>
          <w:rFonts w:ascii="VangRoman" w:hAnsi="VangRoman" w:cs="VangRoman"/>
          <w:sz w:val="23"/>
          <w:szCs w:val="23"/>
        </w:rPr>
        <w:t>Vale a dire che se pure le patate aumentano del 21% (come è accaduto fra dicembre 2</w:t>
      </w:r>
      <w:r>
        <w:rPr>
          <w:rFonts w:ascii="VangRoman" w:hAnsi="VangRoman" w:cs="VangRoman"/>
          <w:sz w:val="26"/>
          <w:szCs w:val="26"/>
        </w:rPr>
        <w:t>00</w:t>
      </w:r>
      <w:r>
        <w:rPr>
          <w:rFonts w:ascii="VangRoman" w:hAnsi="VangRoman" w:cs="VangRoman"/>
          <w:sz w:val="23"/>
          <w:szCs w:val="23"/>
        </w:rPr>
        <w:t xml:space="preserve">2   </w:t>
      </w:r>
    </w:p>
    <w:p w:rsidR="00B7534A" w:rsidRDefault="00B7534A" w:rsidP="00B7534A">
      <w:pPr>
        <w:autoSpaceDE w:val="0"/>
        <w:autoSpaceDN w:val="0"/>
        <w:adjustRightInd w:val="0"/>
        <w:spacing w:after="0" w:line="240" w:lineRule="auto"/>
        <w:ind w:left="405" w:firstLine="300"/>
        <w:rPr>
          <w:rFonts w:ascii="VangRoman" w:hAnsi="VangRoman" w:cs="VangRoman"/>
          <w:sz w:val="23"/>
          <w:szCs w:val="23"/>
        </w:rPr>
      </w:pPr>
      <w:r>
        <w:rPr>
          <w:rFonts w:ascii="VangRoman" w:hAnsi="VangRoman" w:cs="VangRoman"/>
          <w:sz w:val="23"/>
          <w:szCs w:val="23"/>
        </w:rPr>
        <w:t>e dicembre 2</w:t>
      </w:r>
      <w:r>
        <w:rPr>
          <w:rFonts w:ascii="VangRoman" w:hAnsi="VangRoman" w:cs="VangRoman"/>
          <w:sz w:val="26"/>
          <w:szCs w:val="26"/>
        </w:rPr>
        <w:t>00</w:t>
      </w:r>
      <w:r>
        <w:rPr>
          <w:rFonts w:ascii="VangRoman" w:hAnsi="VangRoman" w:cs="VangRoman"/>
          <w:sz w:val="23"/>
          <w:szCs w:val="23"/>
        </w:rPr>
        <w:t>3), incidono comunque poco nella spesa familiare effettiva.</w:t>
      </w:r>
    </w:p>
    <w:p w:rsidR="00B7534A" w:rsidRDefault="00B7534A" w:rsidP="00B7534A">
      <w:pPr>
        <w:autoSpaceDE w:val="0"/>
        <w:autoSpaceDN w:val="0"/>
        <w:adjustRightInd w:val="0"/>
        <w:spacing w:after="0" w:line="240" w:lineRule="auto"/>
        <w:ind w:firstLine="405"/>
        <w:rPr>
          <w:rFonts w:ascii="VangRoman" w:hAnsi="VangRoman" w:cs="VangRoman"/>
          <w:sz w:val="23"/>
          <w:szCs w:val="23"/>
        </w:rPr>
      </w:pPr>
      <w:r>
        <w:rPr>
          <w:rFonts w:ascii="VangRoman" w:hAnsi="VangRoman" w:cs="VangRoman"/>
          <w:sz w:val="23"/>
          <w:szCs w:val="23"/>
        </w:rPr>
        <w:t xml:space="preserve">     Infatti, il peso delle patate all’interno del paniere, è pari allo </w:t>
      </w:r>
      <w:r>
        <w:rPr>
          <w:rFonts w:ascii="VangRoman" w:hAnsi="VangRoman" w:cs="VangRoman"/>
          <w:sz w:val="26"/>
          <w:szCs w:val="26"/>
        </w:rPr>
        <w:t>0</w:t>
      </w:r>
      <w:r>
        <w:rPr>
          <w:rFonts w:ascii="VangRoman" w:hAnsi="VangRoman" w:cs="VangRoman"/>
          <w:sz w:val="23"/>
          <w:szCs w:val="23"/>
        </w:rPr>
        <w:t xml:space="preserve">,2%. </w:t>
      </w:r>
    </w:p>
    <w:p w:rsidR="00B7534A" w:rsidRDefault="00B7534A" w:rsidP="00B7534A">
      <w:pPr>
        <w:autoSpaceDE w:val="0"/>
        <w:autoSpaceDN w:val="0"/>
        <w:adjustRightInd w:val="0"/>
        <w:spacing w:after="0" w:line="240" w:lineRule="auto"/>
        <w:ind w:firstLine="405"/>
        <w:rPr>
          <w:rFonts w:ascii="VangRoman" w:hAnsi="VangRoman" w:cs="VangRoman"/>
          <w:sz w:val="23"/>
          <w:szCs w:val="23"/>
        </w:rPr>
      </w:pPr>
    </w:p>
    <w:p w:rsidR="00B7534A" w:rsidRPr="00AF1EC6" w:rsidRDefault="00B7534A" w:rsidP="00B7534A">
      <w:pPr>
        <w:pStyle w:val="Paragrafoelenco"/>
        <w:numPr>
          <w:ilvl w:val="0"/>
          <w:numId w:val="7"/>
        </w:numPr>
        <w:autoSpaceDE w:val="0"/>
        <w:autoSpaceDN w:val="0"/>
        <w:adjustRightInd w:val="0"/>
        <w:spacing w:after="0" w:line="240" w:lineRule="auto"/>
        <w:rPr>
          <w:rFonts w:ascii="AgeInTextSemiBold" w:hAnsi="AgeInTextSemiBold" w:cs="AgeInTextSemiBold"/>
          <w:sz w:val="20"/>
          <w:szCs w:val="20"/>
        </w:rPr>
      </w:pPr>
      <w:r w:rsidRPr="00AF1EC6">
        <w:rPr>
          <w:rFonts w:ascii="VangRoman" w:hAnsi="VangRoman" w:cs="VangRoman"/>
          <w:sz w:val="23"/>
          <w:szCs w:val="23"/>
        </w:rPr>
        <w:t>Inoltre, alcuni prodotti ad acquisto frequente sono osservati – e ricordati – con maggiore attenzione dal consumatore.</w:t>
      </w:r>
    </w:p>
    <w:p w:rsidR="00B7534A" w:rsidRDefault="00B7534A" w:rsidP="00B7534A">
      <w:pPr>
        <w:pStyle w:val="Paragrafoelenco"/>
        <w:autoSpaceDE w:val="0"/>
        <w:autoSpaceDN w:val="0"/>
        <w:adjustRightInd w:val="0"/>
        <w:spacing w:after="0" w:line="240" w:lineRule="auto"/>
        <w:ind w:left="765"/>
        <w:rPr>
          <w:rFonts w:ascii="VangRoman" w:hAnsi="VangRoman" w:cs="VangRoman"/>
          <w:sz w:val="23"/>
          <w:szCs w:val="23"/>
        </w:rPr>
      </w:pPr>
      <w:r w:rsidRPr="00AF1EC6">
        <w:rPr>
          <w:rFonts w:ascii="VangRoman" w:hAnsi="VangRoman" w:cs="VangRoman"/>
          <w:sz w:val="23"/>
          <w:szCs w:val="23"/>
        </w:rPr>
        <w:t xml:space="preserve"> È questo il caso dei prodotti alimentari non lavorati (carne e pesce freschi, prodotti ortofrutticoli freschi), che fra dicembre 2</w:t>
      </w:r>
      <w:r w:rsidRPr="00AF1EC6">
        <w:rPr>
          <w:rFonts w:ascii="VangRoman" w:hAnsi="VangRoman" w:cs="VangRoman"/>
          <w:sz w:val="26"/>
          <w:szCs w:val="26"/>
        </w:rPr>
        <w:t>00</w:t>
      </w:r>
      <w:r w:rsidRPr="00AF1EC6">
        <w:rPr>
          <w:rFonts w:ascii="VangRoman" w:hAnsi="VangRoman" w:cs="VangRoman"/>
          <w:sz w:val="23"/>
          <w:szCs w:val="23"/>
        </w:rPr>
        <w:t>1 e dicembre 2</w:t>
      </w:r>
      <w:r w:rsidRPr="00AF1EC6">
        <w:rPr>
          <w:rFonts w:ascii="VangRoman" w:hAnsi="VangRoman" w:cs="VangRoman"/>
          <w:sz w:val="26"/>
          <w:szCs w:val="26"/>
        </w:rPr>
        <w:t>00</w:t>
      </w:r>
      <w:r w:rsidRPr="00AF1EC6">
        <w:rPr>
          <w:rFonts w:ascii="VangRoman" w:hAnsi="VangRoman" w:cs="VangRoman"/>
          <w:sz w:val="23"/>
          <w:szCs w:val="23"/>
        </w:rPr>
        <w:t>3 hanno registrato aumenti del 1</w:t>
      </w:r>
      <w:r w:rsidRPr="00AF1EC6">
        <w:rPr>
          <w:rFonts w:ascii="VangRoman" w:hAnsi="VangRoman" w:cs="VangRoman"/>
          <w:sz w:val="26"/>
          <w:szCs w:val="26"/>
        </w:rPr>
        <w:t>0</w:t>
      </w:r>
      <w:r w:rsidRPr="00AF1EC6">
        <w:rPr>
          <w:rFonts w:ascii="VangRoman" w:hAnsi="VangRoman" w:cs="VangRoman"/>
          <w:sz w:val="23"/>
          <w:szCs w:val="23"/>
        </w:rPr>
        <w:t xml:space="preserve">,4% rispetto al + 5,4% dell’indice generale </w:t>
      </w:r>
      <w:proofErr w:type="spellStart"/>
      <w:r w:rsidRPr="00AF1EC6">
        <w:rPr>
          <w:rFonts w:ascii="VangMatto" w:hAnsi="VangMatto" w:cs="VangMatto"/>
          <w:sz w:val="23"/>
          <w:szCs w:val="23"/>
        </w:rPr>
        <w:t>nic</w:t>
      </w:r>
      <w:proofErr w:type="spellEnd"/>
      <w:r w:rsidRPr="00AF1EC6">
        <w:rPr>
          <w:rFonts w:ascii="VangRoman" w:hAnsi="VangRoman" w:cs="VangRoman"/>
          <w:sz w:val="23"/>
          <w:szCs w:val="23"/>
        </w:rPr>
        <w:t xml:space="preserve">. </w:t>
      </w:r>
    </w:p>
    <w:p w:rsidR="00B7534A" w:rsidRPr="00AF1EC6" w:rsidRDefault="00B7534A" w:rsidP="00B7534A">
      <w:pPr>
        <w:pStyle w:val="Paragrafoelenco"/>
        <w:autoSpaceDE w:val="0"/>
        <w:autoSpaceDN w:val="0"/>
        <w:adjustRightInd w:val="0"/>
        <w:spacing w:after="0" w:line="240" w:lineRule="auto"/>
        <w:ind w:left="765"/>
        <w:rPr>
          <w:rFonts w:ascii="AgeInTextSemiBold" w:hAnsi="AgeInTextSemiBold" w:cs="AgeInTextSemiBold"/>
          <w:sz w:val="20"/>
          <w:szCs w:val="20"/>
        </w:rPr>
      </w:pPr>
      <w:r w:rsidRPr="00AF1EC6">
        <w:rPr>
          <w:rFonts w:ascii="VangRoman" w:hAnsi="VangRoman" w:cs="VangRoman"/>
          <w:sz w:val="23"/>
          <w:szCs w:val="23"/>
        </w:rPr>
        <w:t xml:space="preserve">Nello stesso periodo sono rimasti stabili o addirittura diminuiti i prezzi di alcuni prodotti che si acquistano raramente (beni durevoli in generale, e in particolare </w:t>
      </w:r>
      <w:proofErr w:type="spellStart"/>
      <w:r w:rsidRPr="00AF1EC6">
        <w:rPr>
          <w:rFonts w:ascii="VangMatto" w:hAnsi="VangMatto" w:cs="VangMatto"/>
          <w:sz w:val="23"/>
          <w:szCs w:val="23"/>
        </w:rPr>
        <w:t>pc</w:t>
      </w:r>
      <w:proofErr w:type="spellEnd"/>
      <w:r w:rsidRPr="00AF1EC6">
        <w:rPr>
          <w:rFonts w:ascii="VangRoman" w:hAnsi="VangRoman" w:cs="VangRoman"/>
          <w:sz w:val="23"/>
          <w:szCs w:val="23"/>
        </w:rPr>
        <w:t>, televisori, motocicli, elettrodomestici, cellulari), ma che comunque partecipano al calcolo dell’indice generale dei prezzi.</w:t>
      </w:r>
    </w:p>
    <w:p w:rsidR="00B7534A" w:rsidRDefault="00B7534A" w:rsidP="00B7534A">
      <w:pPr>
        <w:autoSpaceDE w:val="0"/>
        <w:autoSpaceDN w:val="0"/>
        <w:adjustRightInd w:val="0"/>
        <w:spacing w:after="0" w:line="240" w:lineRule="auto"/>
        <w:jc w:val="both"/>
        <w:rPr>
          <w:rFonts w:ascii="VangRoman" w:hAnsi="VangRoman" w:cs="VangRoman"/>
          <w:sz w:val="24"/>
          <w:szCs w:val="24"/>
        </w:rPr>
      </w:pPr>
    </w:p>
    <w:p w:rsidR="00B7534A" w:rsidRDefault="00B7534A" w:rsidP="00B7534A">
      <w:pPr>
        <w:autoSpaceDE w:val="0"/>
        <w:autoSpaceDN w:val="0"/>
        <w:adjustRightInd w:val="0"/>
        <w:spacing w:after="0" w:line="240" w:lineRule="auto"/>
        <w:jc w:val="both"/>
        <w:rPr>
          <w:rFonts w:ascii="VangRoman" w:hAnsi="VangRoman" w:cs="VangRoman"/>
          <w:sz w:val="24"/>
          <w:szCs w:val="24"/>
        </w:rPr>
      </w:pPr>
    </w:p>
    <w:p w:rsidR="00B7534A" w:rsidRPr="00AB07D2" w:rsidRDefault="00B7534A" w:rsidP="00B7534A">
      <w:pPr>
        <w:autoSpaceDE w:val="0"/>
        <w:autoSpaceDN w:val="0"/>
        <w:adjustRightInd w:val="0"/>
        <w:spacing w:after="0" w:line="240" w:lineRule="auto"/>
        <w:jc w:val="both"/>
        <w:rPr>
          <w:rFonts w:ascii="VangRoman" w:hAnsi="VangRoman" w:cs="VangRoman"/>
          <w:sz w:val="24"/>
          <w:szCs w:val="24"/>
        </w:rPr>
      </w:pPr>
    </w:p>
    <w:p w:rsidR="00B7534A" w:rsidRDefault="00B7534A" w:rsidP="00B7534A"/>
    <w:p w:rsidR="00B7534A" w:rsidRPr="00B35EC4" w:rsidRDefault="00B7534A" w:rsidP="00B7534A">
      <w:pPr>
        <w:pStyle w:val="Default"/>
        <w:jc w:val="both"/>
      </w:pPr>
      <w:r w:rsidRPr="00B35EC4">
        <w:t xml:space="preserve">Attualmente il sistema degli indici dei prezzi al consumo è articolato secondo tre diversi indici, con finalità differenti: </w:t>
      </w:r>
    </w:p>
    <w:p w:rsidR="00B7534A" w:rsidRPr="00B35EC4" w:rsidRDefault="00B7534A" w:rsidP="00B7534A">
      <w:pPr>
        <w:pStyle w:val="Default"/>
        <w:numPr>
          <w:ilvl w:val="0"/>
          <w:numId w:val="2"/>
        </w:numPr>
        <w:spacing w:before="60"/>
        <w:ind w:left="280"/>
        <w:jc w:val="both"/>
      </w:pPr>
      <w:r w:rsidRPr="00B35EC4">
        <w:t xml:space="preserve">1. </w:t>
      </w:r>
      <w:r w:rsidRPr="00B35EC4">
        <w:rPr>
          <w:b/>
          <w:bCs/>
        </w:rPr>
        <w:t xml:space="preserve">l’indice nazionale dei prezzi al consumo per l’intera collettività (NIC) </w:t>
      </w:r>
      <w:r w:rsidRPr="00B35EC4">
        <w:t xml:space="preserve">è utilizzato come misura dell’inflazione per l’intero sistema economico; in altre parole, si considera la collettività nazionale come un’unica grande famiglia di consumatori all’interno della quale le abitudini di spesa sono ovviamente molto differenziate; </w:t>
      </w:r>
    </w:p>
    <w:p w:rsidR="00B7534A" w:rsidRPr="00B35EC4" w:rsidRDefault="00B7534A" w:rsidP="00B7534A">
      <w:pPr>
        <w:pStyle w:val="Default"/>
        <w:numPr>
          <w:ilvl w:val="0"/>
          <w:numId w:val="2"/>
        </w:numPr>
        <w:spacing w:before="60"/>
        <w:ind w:left="280"/>
        <w:jc w:val="both"/>
      </w:pPr>
      <w:r w:rsidRPr="00B35EC4">
        <w:t xml:space="preserve">2. </w:t>
      </w:r>
      <w:r w:rsidRPr="00B35EC4">
        <w:rPr>
          <w:b/>
          <w:bCs/>
        </w:rPr>
        <w:t xml:space="preserve">l’indice dei prezzi al consumo per le famiglie di operai e impiegati (FOI) </w:t>
      </w:r>
      <w:r w:rsidRPr="00B35EC4">
        <w:t xml:space="preserve">si riferisce ai consumi dell’insieme delle famiglie che fanno capo a un lavoratore dipendente. È l’indice usato per adeguare periodicamente i valori monetari, ad esempio i canoni di affitto o gli assegni dovuti al coniuge separato; </w:t>
      </w:r>
    </w:p>
    <w:p w:rsidR="00B7534A" w:rsidRPr="00B35EC4" w:rsidRDefault="00B7534A" w:rsidP="00B7534A">
      <w:pPr>
        <w:pStyle w:val="Default"/>
        <w:numPr>
          <w:ilvl w:val="0"/>
          <w:numId w:val="2"/>
        </w:numPr>
        <w:spacing w:before="60"/>
        <w:ind w:left="280"/>
        <w:jc w:val="both"/>
      </w:pPr>
      <w:r w:rsidRPr="00B35EC4">
        <w:t xml:space="preserve">3. </w:t>
      </w:r>
      <w:r w:rsidRPr="00B35EC4">
        <w:rPr>
          <w:b/>
          <w:bCs/>
        </w:rPr>
        <w:t xml:space="preserve">l’indice dei prezzi al consumo armonizzato per i paesi dell’Unione Europea (IPCA) </w:t>
      </w:r>
      <w:r w:rsidRPr="00B35EC4">
        <w:t xml:space="preserve">assicura una misura dell’inflazione comparabile tra i diversi paesi europei, attraverso l’adozione di un impianto concettuale, metodologico e tecnico condiviso da tutti i paesi. Infatti, viene assunto come indicatore per verificare la convergenza delle economie dei paesi membri dell’Unione europea. Tale indice viene calcolato, pubblicato e inviato mensilmente dall’Istat ad Eurostat secondo un calendario prefissato. Eurostat, a sua volta, diffonde gli indici armonizzati dei singoli paesi dell’UE ed elabora e diffonde l’indice sintetico europeo, calcolato sulla base dei primi. </w:t>
      </w:r>
    </w:p>
    <w:p w:rsidR="00B7534A" w:rsidRPr="00B35EC4" w:rsidRDefault="00B7534A" w:rsidP="00B7534A">
      <w:pPr>
        <w:pStyle w:val="Default"/>
      </w:pPr>
    </w:p>
    <w:p w:rsidR="00B7534A" w:rsidRPr="00B35EC4" w:rsidRDefault="00B7534A" w:rsidP="00B7534A">
      <w:pPr>
        <w:pStyle w:val="Default"/>
        <w:spacing w:after="120"/>
        <w:jc w:val="both"/>
      </w:pPr>
      <w:r w:rsidRPr="00B35EC4">
        <w:t xml:space="preserve">I tre indici hanno in comune: la rilevazione dei prezzi; la metodologia di calcolo; la base territoriale; la classificazione del paniere articolato in 12 capitoli di spesa. </w:t>
      </w:r>
    </w:p>
    <w:p w:rsidR="00B7534A" w:rsidRPr="00B35EC4" w:rsidRDefault="00B7534A" w:rsidP="00B7534A">
      <w:pPr>
        <w:pStyle w:val="Default"/>
        <w:spacing w:after="120"/>
        <w:jc w:val="both"/>
      </w:pPr>
      <w:r w:rsidRPr="00B35EC4">
        <w:rPr>
          <w:u w:val="single"/>
        </w:rPr>
        <w:t>I tre indici differiscono</w:t>
      </w:r>
      <w:r w:rsidRPr="00B35EC4">
        <w:t xml:space="preserve">, invece, per i seguenti elementi: </w:t>
      </w:r>
    </w:p>
    <w:p w:rsidR="00B7534A" w:rsidRPr="00B35EC4" w:rsidRDefault="00B7534A" w:rsidP="00B7534A">
      <w:pPr>
        <w:pStyle w:val="Default"/>
        <w:numPr>
          <w:ilvl w:val="0"/>
          <w:numId w:val="3"/>
        </w:numPr>
        <w:spacing w:after="60"/>
        <w:ind w:left="280" w:hanging="280"/>
        <w:jc w:val="both"/>
      </w:pPr>
      <w:r w:rsidRPr="00B35EC4">
        <w:rPr>
          <w:rFonts w:ascii="Wingdings" w:hAnsi="Wingdings" w:cs="Wingdings"/>
        </w:rPr>
        <w:t>􀂃</w:t>
      </w:r>
      <w:r w:rsidRPr="00B35EC4">
        <w:rPr>
          <w:rFonts w:ascii="Wingdings" w:hAnsi="Wingdings" w:cs="Wingdings"/>
        </w:rPr>
        <w:t></w:t>
      </w:r>
      <w:r w:rsidRPr="00B35EC4">
        <w:t xml:space="preserve">NIC e FOI si basano sullo stesso paniere e si riferiscono ai consumi finali individuali indipendentemente se la spesa sia a totale carico delle famiglie o, in misura parziale o totale, della Pubblica Amministrazione o delle istituzioni non aventi fini di lucro (ISP). Il peso attribuito a ogni bene o servizio è diverso nei due indici, a seconda dell’importanza che i diversi prodotti assumono nei consumi della popolazione di riferimento. Per il NIC la popolazione di riferimento è l’intera popolazione; per il FOI è l’insieme di famiglie che fanno capo a un operaio o a un impiegato; </w:t>
      </w:r>
    </w:p>
    <w:p w:rsidR="00B7534A" w:rsidRPr="00B35EC4" w:rsidRDefault="00B7534A" w:rsidP="00B7534A">
      <w:pPr>
        <w:pStyle w:val="Default"/>
        <w:numPr>
          <w:ilvl w:val="0"/>
          <w:numId w:val="3"/>
        </w:numPr>
        <w:spacing w:after="60"/>
        <w:ind w:left="280" w:hanging="280"/>
        <w:jc w:val="both"/>
      </w:pPr>
      <w:r w:rsidRPr="00B35EC4">
        <w:rPr>
          <w:rFonts w:ascii="Wingdings" w:hAnsi="Wingdings" w:cs="Wingdings"/>
        </w:rPr>
        <w:t>􀂃</w:t>
      </w:r>
      <w:r w:rsidRPr="00B35EC4">
        <w:rPr>
          <w:rFonts w:ascii="Wingdings" w:hAnsi="Wingdings" w:cs="Wingdings"/>
        </w:rPr>
        <w:t></w:t>
      </w:r>
      <w:r w:rsidRPr="00B35EC4">
        <w:t>l’IPCA ha in comune con il NIC la popolazione di riferimento ma si differenzia dagli altri due indici poiché si riferisce alla spesa monetaria per consumi finali sostenuta esclusivamente dalle famiglie (</w:t>
      </w:r>
      <w:proofErr w:type="spellStart"/>
      <w:r w:rsidRPr="00B35EC4">
        <w:rPr>
          <w:i/>
          <w:iCs/>
        </w:rPr>
        <w:t>Household</w:t>
      </w:r>
      <w:proofErr w:type="spellEnd"/>
      <w:r w:rsidRPr="00B35EC4">
        <w:rPr>
          <w:i/>
          <w:iCs/>
        </w:rPr>
        <w:t xml:space="preserve"> </w:t>
      </w:r>
      <w:proofErr w:type="spellStart"/>
      <w:r w:rsidRPr="00B35EC4">
        <w:rPr>
          <w:i/>
          <w:iCs/>
        </w:rPr>
        <w:t>final</w:t>
      </w:r>
      <w:proofErr w:type="spellEnd"/>
      <w:r w:rsidRPr="00B35EC4">
        <w:rPr>
          <w:i/>
          <w:iCs/>
        </w:rPr>
        <w:t xml:space="preserve"> </w:t>
      </w:r>
      <w:proofErr w:type="spellStart"/>
      <w:r w:rsidRPr="00B35EC4">
        <w:rPr>
          <w:i/>
          <w:iCs/>
        </w:rPr>
        <w:t>monetary</w:t>
      </w:r>
      <w:proofErr w:type="spellEnd"/>
      <w:r w:rsidRPr="00B35EC4">
        <w:rPr>
          <w:i/>
          <w:iCs/>
        </w:rPr>
        <w:t xml:space="preserve"> </w:t>
      </w:r>
      <w:proofErr w:type="spellStart"/>
      <w:r w:rsidRPr="00B35EC4">
        <w:rPr>
          <w:i/>
          <w:iCs/>
        </w:rPr>
        <w:t>consumption</w:t>
      </w:r>
      <w:proofErr w:type="spellEnd"/>
      <w:r w:rsidRPr="00B35EC4">
        <w:rPr>
          <w:i/>
          <w:iCs/>
        </w:rPr>
        <w:t xml:space="preserve"> </w:t>
      </w:r>
      <w:proofErr w:type="spellStart"/>
      <w:r w:rsidRPr="00B35EC4">
        <w:rPr>
          <w:i/>
          <w:iCs/>
        </w:rPr>
        <w:t>expenditure</w:t>
      </w:r>
      <w:proofErr w:type="spellEnd"/>
      <w:r w:rsidRPr="00B35EC4">
        <w:t xml:space="preserve">); esclude inoltre, sulla base di regolamenti comunitari, alcuni prodotti come, ad esempio, le lotterie, il lotto e i concorsi pronostici. </w:t>
      </w:r>
    </w:p>
    <w:p w:rsidR="00B7534A" w:rsidRPr="00B35EC4" w:rsidRDefault="00B7534A" w:rsidP="00B7534A">
      <w:pPr>
        <w:pStyle w:val="Default"/>
        <w:numPr>
          <w:ilvl w:val="0"/>
          <w:numId w:val="3"/>
        </w:numPr>
        <w:spacing w:after="120"/>
        <w:ind w:left="280" w:hanging="280"/>
        <w:jc w:val="both"/>
      </w:pPr>
      <w:r w:rsidRPr="00B35EC4">
        <w:rPr>
          <w:rFonts w:ascii="Wingdings" w:hAnsi="Wingdings" w:cs="Wingdings"/>
        </w:rPr>
        <w:t>􀂃</w:t>
      </w:r>
      <w:r w:rsidRPr="00B35EC4">
        <w:rPr>
          <w:rFonts w:ascii="Wingdings" w:hAnsi="Wingdings" w:cs="Wingdings"/>
        </w:rPr>
        <w:t></w:t>
      </w:r>
      <w:r w:rsidRPr="00B35EC4">
        <w:t xml:space="preserve">un’ulteriore differenziazione fra i tre indici riguarda il concetto di prezzo considerato. Se il NIC e il FOI considerano sempre il prezzo pieno di vendita, l’IPCA si riferisce, invece, al prezzo effettivamente pagato dal consumatore. Ad esempio, nel caso dei medicinali, mentre per gli indici nazionali viene considerato il prezzo pieno del prodotto, per quello armonizzato il prezzo di riferimento è rappresentato dalla quota effettivamente a carico delle famiglie. Inoltre, l’IPCA tiene conto anche delle riduzioni temporanee di prezzo (saldi, sconti e promozioni). </w:t>
      </w:r>
    </w:p>
    <w:p w:rsidR="00B7534A" w:rsidRPr="00B35EC4" w:rsidRDefault="00B7534A" w:rsidP="00B7534A">
      <w:pPr>
        <w:pStyle w:val="Default"/>
      </w:pPr>
    </w:p>
    <w:p w:rsidR="00B7534A" w:rsidRPr="00B35EC4" w:rsidRDefault="00B7534A" w:rsidP="00B7534A">
      <w:pPr>
        <w:pStyle w:val="Default"/>
        <w:spacing w:after="120"/>
        <w:jc w:val="both"/>
      </w:pPr>
      <w:r w:rsidRPr="00B35EC4">
        <w:t>Gli indici nazionali NIC e FOI sono prodotti anche nella versione che esclude dal calcolo i tabacchi, ai sensi della legge n.81 del 1992</w:t>
      </w:r>
      <w:r w:rsidRPr="00B35EC4">
        <w:rPr>
          <w:i/>
          <w:iCs/>
        </w:rPr>
        <w:t xml:space="preserve">. </w:t>
      </w:r>
    </w:p>
    <w:p w:rsidR="00B7534A" w:rsidRDefault="00B7534A" w:rsidP="00667984">
      <w:pPr>
        <w:pStyle w:val="NormaleWeb"/>
        <w:jc w:val="center"/>
        <w:rPr>
          <w:b/>
          <w:sz w:val="32"/>
          <w:szCs w:val="32"/>
        </w:rPr>
      </w:pPr>
    </w:p>
    <w:p w:rsidR="00B7534A" w:rsidRDefault="00B7534A" w:rsidP="00667984">
      <w:pPr>
        <w:pStyle w:val="NormaleWeb"/>
        <w:jc w:val="center"/>
        <w:rPr>
          <w:b/>
          <w:sz w:val="32"/>
          <w:szCs w:val="32"/>
        </w:rPr>
      </w:pPr>
    </w:p>
    <w:p w:rsidR="00667984" w:rsidRPr="00667984" w:rsidRDefault="00667984" w:rsidP="00667984">
      <w:pPr>
        <w:pStyle w:val="NormaleWeb"/>
        <w:jc w:val="center"/>
        <w:rPr>
          <w:b/>
          <w:sz w:val="32"/>
          <w:szCs w:val="32"/>
        </w:rPr>
      </w:pPr>
      <w:r>
        <w:rPr>
          <w:b/>
          <w:sz w:val="32"/>
          <w:szCs w:val="32"/>
        </w:rPr>
        <w:t>I</w:t>
      </w:r>
      <w:r w:rsidRPr="00667984">
        <w:rPr>
          <w:b/>
          <w:sz w:val="32"/>
          <w:szCs w:val="32"/>
        </w:rPr>
        <w:t>nflazione</w:t>
      </w:r>
    </w:p>
    <w:p w:rsidR="00667984" w:rsidRDefault="00667984" w:rsidP="0043699C">
      <w:pPr>
        <w:pStyle w:val="NormaleWeb"/>
      </w:pPr>
    </w:p>
    <w:p w:rsidR="00667984" w:rsidRDefault="0043699C" w:rsidP="0043699C">
      <w:pPr>
        <w:pStyle w:val="NormaleWeb"/>
        <w:rPr>
          <w:b/>
          <w:color w:val="FF0000"/>
        </w:rPr>
      </w:pPr>
      <w:r>
        <w:t>Quante volte avete sentito parlare di “pericolo inflazione” nelle ultime settimane? Moltissime, vero?</w:t>
      </w:r>
      <w:r>
        <w:br/>
      </w:r>
      <w:r>
        <w:br/>
        <w:t xml:space="preserve">E se qualcuno vi chiedesse che cos’è, </w:t>
      </w:r>
      <w:r>
        <w:rPr>
          <w:rStyle w:val="Enfasicorsivo"/>
        </w:rPr>
        <w:t>esattamente</w:t>
      </w:r>
      <w:r>
        <w:t>, l’inflazione?</w:t>
      </w:r>
      <w:r>
        <w:br/>
      </w:r>
      <w:r>
        <w:br/>
        <w:t>Probabilmente la risposta sarebbe questa:</w:t>
      </w:r>
      <w:r>
        <w:br/>
      </w:r>
      <w:r>
        <w:br/>
      </w:r>
      <w:r w:rsidR="00667984" w:rsidRPr="00667984">
        <w:rPr>
          <w:b/>
        </w:rPr>
        <w:t xml:space="preserve">                      </w:t>
      </w:r>
      <w:r w:rsidRPr="00667984">
        <w:rPr>
          <w:b/>
        </w:rPr>
        <w:t>”L’</w:t>
      </w:r>
      <w:hyperlink r:id="rId15" w:tgtFrame="_blank" w:history="1">
        <w:r w:rsidRPr="00667984">
          <w:rPr>
            <w:rStyle w:val="Collegamentoipertestuale"/>
            <w:b/>
          </w:rPr>
          <w:t>inflazione</w:t>
        </w:r>
      </w:hyperlink>
      <w:r w:rsidRPr="00667984">
        <w:rPr>
          <w:b/>
        </w:rPr>
        <w:t xml:space="preserve"> è l’aumento </w:t>
      </w:r>
      <w:r w:rsidRPr="00667984">
        <w:rPr>
          <w:rStyle w:val="Enfasicorsivo"/>
          <w:b/>
        </w:rPr>
        <w:t>continuo</w:t>
      </w:r>
      <w:r w:rsidRPr="00667984">
        <w:rPr>
          <w:b/>
        </w:rPr>
        <w:t xml:space="preserve"> e </w:t>
      </w:r>
      <w:r w:rsidRPr="00667984">
        <w:rPr>
          <w:rStyle w:val="Enfasicorsivo"/>
          <w:b/>
        </w:rPr>
        <w:t>generalizzato</w:t>
      </w:r>
      <w:r w:rsidRPr="00667984">
        <w:rPr>
          <w:b/>
        </w:rPr>
        <w:t xml:space="preserve"> del livello dei prezzi”</w:t>
      </w:r>
      <w:r w:rsidRPr="00667984">
        <w:rPr>
          <w:b/>
        </w:rPr>
        <w:br/>
      </w:r>
      <w:r>
        <w:br/>
        <w:t>Questa è la definizione più accettata e diffusa al giorno d’oggi ma, come vedremo, è ingannevole ed imprecisa.</w:t>
      </w:r>
      <w:r>
        <w:br/>
      </w:r>
      <w:r>
        <w:br/>
        <w:t>La cosa è evidente non appena ci si domanda quali siano le cause dell’inflazione.</w:t>
      </w:r>
      <w:r>
        <w:br/>
      </w:r>
      <w:r>
        <w:br/>
        <w:t xml:space="preserve">Secondo quanto hanno riportato i giornali ad ottobre il rischio inflazione era dettato dall’aumento del </w:t>
      </w:r>
      <w:hyperlink r:id="rId16" w:tgtFrame="_blank" w:history="1">
        <w:r>
          <w:rPr>
            <w:rStyle w:val="Collegamentoipertestuale"/>
          </w:rPr>
          <w:t>prezzo del pane e della pasta</w:t>
        </w:r>
      </w:hyperlink>
      <w:r>
        <w:t xml:space="preserve">., a novembre era invece la </w:t>
      </w:r>
      <w:hyperlink r:id="rId17" w:tgtFrame="_blank" w:history="1">
        <w:r>
          <w:rPr>
            <w:rStyle w:val="Collegamentoipertestuale"/>
          </w:rPr>
          <w:t>benzina</w:t>
        </w:r>
      </w:hyperlink>
      <w:r>
        <w:t>. a “far correre” l’inflazione mentre a dicembre il governatore della Banca Centrale Europea, ...</w:t>
      </w:r>
      <w:r>
        <w:br/>
      </w:r>
      <w:r>
        <w:br/>
        <w:t xml:space="preserve">... Claude </w:t>
      </w:r>
      <w:proofErr w:type="spellStart"/>
      <w:r>
        <w:t>Trichet</w:t>
      </w:r>
      <w:proofErr w:type="spellEnd"/>
      <w:r>
        <w:t xml:space="preserve">, avvertiva di un pericolo di inflazione in caso di aumento dei </w:t>
      </w:r>
      <w:hyperlink r:id="rId18" w:tgtFrame="_blank" w:history="1">
        <w:r>
          <w:rPr>
            <w:rStyle w:val="Collegamentoipertestuale"/>
          </w:rPr>
          <w:t>salari</w:t>
        </w:r>
      </w:hyperlink>
      <w:r>
        <w:br/>
      </w:r>
      <w:r>
        <w:br/>
        <w:t xml:space="preserve">A gennaio, infine, </w:t>
      </w:r>
      <w:hyperlink r:id="rId19" w:tgtFrame="_blank" w:history="1">
        <w:r>
          <w:rPr>
            <w:rStyle w:val="Collegamentoipertestuale"/>
          </w:rPr>
          <w:t>il governatore della Banca d’Italia</w:t>
        </w:r>
      </w:hyperlink>
      <w:r>
        <w:t xml:space="preserve">, Mario Draghi, fa un bilancio del 2007 e spiega che la causa dell’inflazione sarebbe da ricercarsi </w:t>
      </w:r>
      <w:r>
        <w:rPr>
          <w:rStyle w:val="Enfasicorsivo"/>
        </w:rPr>
        <w:t>"soprattutto negli aumenti dei prezzi internazionali del greggio e dei beni agricoli”.</w:t>
      </w:r>
      <w:r>
        <w:br/>
      </w:r>
      <w:r>
        <w:br/>
      </w:r>
      <w:r w:rsidR="00667984">
        <w:rPr>
          <w:b/>
          <w:color w:val="FF0000"/>
        </w:rPr>
        <w:t xml:space="preserve">                      </w:t>
      </w:r>
      <w:r w:rsidRPr="004444F1">
        <w:rPr>
          <w:b/>
          <w:color w:val="FF0000"/>
        </w:rPr>
        <w:t xml:space="preserve">L’inflazione sarebbe quindi l’aumento dei prezzi ed i prezzi in aumento… </w:t>
      </w:r>
    </w:p>
    <w:p w:rsidR="0043699C" w:rsidRPr="00667984" w:rsidRDefault="0043699C" w:rsidP="00667984">
      <w:pPr>
        <w:pStyle w:val="NormaleWeb"/>
        <w:ind w:left="2832" w:firstLine="708"/>
        <w:rPr>
          <w:rFonts w:ascii="Trebuchet MS" w:hAnsi="Trebuchet MS"/>
          <w:color w:val="000000"/>
          <w:sz w:val="17"/>
          <w:szCs w:val="17"/>
        </w:rPr>
      </w:pPr>
      <w:r w:rsidRPr="004444F1">
        <w:rPr>
          <w:b/>
          <w:color w:val="FF0000"/>
        </w:rPr>
        <w:t xml:space="preserve">causerebbe l’inflazione! </w:t>
      </w:r>
      <w:r w:rsidRPr="004444F1">
        <w:rPr>
          <w:b/>
          <w:color w:val="FF0000"/>
        </w:rPr>
        <w:br/>
      </w:r>
      <w:r>
        <w:br/>
      </w:r>
      <w:r w:rsidR="00667984" w:rsidRPr="00667984">
        <w:t xml:space="preserve">             </w:t>
      </w:r>
      <w:r w:rsidRPr="00667984">
        <w:rPr>
          <w:u w:val="single"/>
        </w:rPr>
        <w:t>ragionamento circolare</w:t>
      </w:r>
      <w:r w:rsidRPr="00667984">
        <w:t>.</w:t>
      </w:r>
    </w:p>
    <w:p w:rsidR="00BD4EB9" w:rsidRDefault="0043699C" w:rsidP="0043699C">
      <w:pPr>
        <w:pStyle w:val="NormaleWeb"/>
      </w:pPr>
      <w:r>
        <w:rPr>
          <w:rStyle w:val="Enfasigrassetto"/>
        </w:rPr>
        <w:t>Inflazione monetaria</w:t>
      </w:r>
      <w:r>
        <w:br/>
      </w:r>
      <w:r>
        <w:br/>
        <w:t>Ma in un mondo in cui progressivamente le parole si sono svuotate del loro significato  anche il termine “inflazione” ha seguito un simile destino.</w:t>
      </w:r>
      <w:r>
        <w:br/>
      </w:r>
      <w:r>
        <w:br/>
        <w:t xml:space="preserve">Se vogliamo quindi comprendere che cosa sia realmente l’inflazione ed in quale modo causi l’aumento </w:t>
      </w:r>
      <w:r>
        <w:rPr>
          <w:rStyle w:val="Enfasicorsivo"/>
        </w:rPr>
        <w:t>continuativo</w:t>
      </w:r>
      <w:r>
        <w:t xml:space="preserve"> e </w:t>
      </w:r>
      <w:r>
        <w:rPr>
          <w:rStyle w:val="Enfasicorsivo"/>
        </w:rPr>
        <w:t>generalizzato</w:t>
      </w:r>
      <w:r>
        <w:t xml:space="preserve"> dei prezzi, dobbiamo tornare alla sua definizione originaria, ovvero quella utilizzata dalla scuola austriaca di economia e qui enunciata da </w:t>
      </w:r>
      <w:hyperlink r:id="rId20" w:tgtFrame="_blank" w:history="1">
        <w:proofErr w:type="spellStart"/>
        <w:r>
          <w:rPr>
            <w:rStyle w:val="Collegamentoipertestuale"/>
          </w:rPr>
          <w:t>Mises</w:t>
        </w:r>
        <w:proofErr w:type="spellEnd"/>
      </w:hyperlink>
      <w:r>
        <w:t>:</w:t>
      </w:r>
      <w:r>
        <w:br/>
      </w:r>
      <w:r>
        <w:br/>
      </w:r>
      <w:r>
        <w:rPr>
          <w:rStyle w:val="Enfasicorsivo"/>
        </w:rPr>
        <w:t xml:space="preserve">“L'inflazione, per come questo termine è sempre stato usato ovunque e specialmente in questo paese, sta ad indicare </w:t>
      </w:r>
      <w:r>
        <w:rPr>
          <w:rStyle w:val="Enfasigrassetto"/>
          <w:i/>
          <w:iCs/>
        </w:rPr>
        <w:t>l'incremento della quantità di moneta e di banconote in circolazione e nei conti correnti</w:t>
      </w:r>
      <w:r>
        <w:rPr>
          <w:rStyle w:val="Enfasicorsivo"/>
        </w:rPr>
        <w:t>. Ma la gente oggi usa il termine inflazione per indicare il fenomeno che non è nient'altro che una conseguenza dell'inflazione stessa, ovvero la tendenza di tutti i prezzi e dei salari di aumentare.”</w:t>
      </w:r>
      <w:r>
        <w:br/>
      </w:r>
      <w:r>
        <w:br/>
      </w:r>
    </w:p>
    <w:p w:rsidR="00BD4EB9" w:rsidRDefault="00BD4EB9" w:rsidP="0043699C">
      <w:pPr>
        <w:pStyle w:val="NormaleWeb"/>
      </w:pPr>
    </w:p>
    <w:p w:rsidR="00667984" w:rsidRDefault="0043699C" w:rsidP="0043699C">
      <w:pPr>
        <w:pStyle w:val="NormaleWeb"/>
      </w:pPr>
      <w:r>
        <w:br/>
        <w:t>Vediamo ora per quale motivo, in caso di aumento della quantità di moneta in circolazione, i prezzi tendono a salire:</w:t>
      </w:r>
      <w:r>
        <w:br/>
      </w:r>
      <w:r>
        <w:br/>
      </w:r>
      <w:r>
        <w:rPr>
          <w:rStyle w:val="Enfasicorsivo"/>
        </w:rPr>
        <w:t xml:space="preserve">Immaginiamo che Giorgio l'ortolano si rechi al mercato rionale per vendere le sue patate. Dall'esperienza delle settimane passate sa che fissando il prezzo a 2 euro il Kg riuscirà a vendere tutti e 15 i Kg di patate che ha portato con sé. </w:t>
      </w:r>
      <w:r>
        <w:br/>
      </w:r>
      <w:r>
        <w:br/>
      </w:r>
      <w:r>
        <w:rPr>
          <w:rStyle w:val="Enfasicorsivo"/>
        </w:rPr>
        <w:t xml:space="preserve">In piazza ci sono Anna, Beatrice e Carla che sono scese per fare la spesa: ognuna ha deciso di destinare 10 euro all'acquisto di patate dall'ortolano. Passa prima Anna e ne compra 5 kg, poi Beatrice fa lo stesso ed infine, nella tarda mattinata è il turno di Carla, che acquista gli ultimi 5 kg. </w:t>
      </w:r>
      <w:r>
        <w:rPr>
          <w:i/>
          <w:iCs/>
        </w:rPr>
        <w:br/>
      </w:r>
      <w:r>
        <w:rPr>
          <w:i/>
          <w:iCs/>
        </w:rPr>
        <w:br/>
      </w:r>
      <w:r>
        <w:rPr>
          <w:rStyle w:val="Enfasicorsivo"/>
        </w:rPr>
        <w:t>La settimana seguente il prezzo delle patate è sempre di 2 euro ma nel frattempo è successo qualcosa. Anna ha infatti sposato un bravissimo falsario ed ora può destinare all'acquisto di patate 20 euro, di cui 10 falsi.</w:t>
      </w:r>
      <w:r>
        <w:rPr>
          <w:i/>
          <w:iCs/>
        </w:rPr>
        <w:br/>
      </w:r>
      <w:r>
        <w:rPr>
          <w:i/>
          <w:iCs/>
        </w:rPr>
        <w:br/>
      </w:r>
      <w:r>
        <w:rPr>
          <w:rStyle w:val="Enfasicorsivo"/>
        </w:rPr>
        <w:t>All'apertura del mercato Anna acquista subito 10 Kg di patate e se ne va. Quando poco dopo giunge Beatrice e compra gli ultimi 5 chili Giorgio si ritrova senza più mercanzia. Siamo solo a metà mattinata e le patate sono già state tutte vendute: non c'è più nulla per Carla, che torna a casa a mani vuote.</w:t>
      </w:r>
      <w:r>
        <w:rPr>
          <w:i/>
          <w:iCs/>
        </w:rPr>
        <w:br/>
      </w:r>
      <w:r>
        <w:rPr>
          <w:i/>
          <w:iCs/>
        </w:rPr>
        <w:br/>
      </w:r>
      <w:r>
        <w:rPr>
          <w:rStyle w:val="Enfasicorsivo"/>
        </w:rPr>
        <w:t>Nei giorni seguenti Giorgio ragiona tra sé e sé: “Poiché non posso portare al mercato più di 15 chili di patate e dal momento che a 2 euro le ho vendute tutte subito, potrei provare ad aumentare il prezzo!”</w:t>
      </w:r>
      <w:r>
        <w:rPr>
          <w:i/>
          <w:iCs/>
        </w:rPr>
        <w:br/>
      </w:r>
      <w:r>
        <w:rPr>
          <w:i/>
          <w:iCs/>
        </w:rPr>
        <w:br/>
      </w:r>
      <w:r>
        <w:rPr>
          <w:rStyle w:val="Enfasicorsivo"/>
        </w:rPr>
        <w:t>Detto, fatto. La settimana successiva il prezzo delle patate è di 2 euro e cinquanta al chilo.</w:t>
      </w:r>
      <w:r>
        <w:rPr>
          <w:i/>
          <w:iCs/>
        </w:rPr>
        <w:br/>
      </w:r>
      <w:r>
        <w:rPr>
          <w:i/>
          <w:iCs/>
        </w:rPr>
        <w:br/>
      </w:r>
      <w:r>
        <w:rPr>
          <w:rStyle w:val="Enfasicorsivo"/>
        </w:rPr>
        <w:t xml:space="preserve">Come al solito passa Anna con i suoi 20 euro, con i quali ora può acquistare solo 8 kg di patate, seguita da Beatrice e Carla, le quali si dividono a metà gli ultimi 7 chili, pagando 8 euro e 75 centesimi a testa. </w:t>
      </w:r>
      <w:r>
        <w:rPr>
          <w:i/>
          <w:iCs/>
        </w:rPr>
        <w:br/>
      </w:r>
      <w:r>
        <w:rPr>
          <w:i/>
          <w:iCs/>
        </w:rPr>
        <w:br/>
      </w:r>
      <w:r>
        <w:rPr>
          <w:rStyle w:val="Enfasicorsivo"/>
        </w:rPr>
        <w:t xml:space="preserve">Giorgio l'ortolano se ne torna a casa con 37.5 euro, sette e mezzo in più della settimana precedente. </w:t>
      </w:r>
      <w:r>
        <w:br/>
      </w:r>
      <w:r>
        <w:br/>
        <w:t>Che cosa ci insegna questo breve aneddoto esemplificativo?</w:t>
      </w:r>
      <w:r>
        <w:br/>
      </w:r>
      <w:r>
        <w:br/>
        <w:t xml:space="preserve">- I primi a ricevere la moneta nuova incrementano il loro reddito a spese di chi la moneta non la riceve: </w:t>
      </w:r>
      <w:r>
        <w:br/>
      </w:r>
      <w:r>
        <w:br/>
        <w:t>Anna riesce in un primo tempo ad acquistare i prodotti al “prezzo vecchio” ed anche dopo l’adeguamento dei prezzi può comprare più patate di quanto riuscisse a fare in partenza (+3 Kg) , il tutto a spese di Carla e Beatrice (-1,5 Kg a testa).</w:t>
      </w:r>
      <w:r>
        <w:br/>
      </w:r>
      <w:r>
        <w:br/>
        <w:t>- Il prezzo aumenta in seguito ad un incremento della domanda</w:t>
      </w:r>
      <w:r>
        <w:br/>
      </w:r>
    </w:p>
    <w:p w:rsidR="00667984" w:rsidRDefault="00667984" w:rsidP="0043699C">
      <w:pPr>
        <w:pStyle w:val="NormaleWeb"/>
      </w:pPr>
    </w:p>
    <w:p w:rsidR="00667984" w:rsidRDefault="00667984" w:rsidP="0043699C">
      <w:pPr>
        <w:pStyle w:val="NormaleWeb"/>
      </w:pPr>
    </w:p>
    <w:p w:rsidR="00667984" w:rsidRDefault="0043699C" w:rsidP="0043699C">
      <w:pPr>
        <w:pStyle w:val="NormaleWeb"/>
      </w:pPr>
      <w:r>
        <w:lastRenderedPageBreak/>
        <w:br/>
        <w:t xml:space="preserve">Giorgio non aumenta il prezzo delle patate perché è un negoziante cattivo e speculatore ma lo fa in seguito ad un aumento della domanda di patate innescata dai dieci euro falsi di Anna. </w:t>
      </w:r>
    </w:p>
    <w:p w:rsidR="00667984" w:rsidRDefault="0043699C" w:rsidP="0043699C">
      <w:pPr>
        <w:pStyle w:val="NormaleWeb"/>
      </w:pPr>
      <w:r>
        <w:rPr>
          <w:rStyle w:val="Enfasigrassetto"/>
        </w:rPr>
        <w:t>- I prezzi non vengono adeguati in modo istantaneo ed uniforme</w:t>
      </w:r>
      <w:r>
        <w:br/>
      </w:r>
      <w:r>
        <w:br/>
        <w:t xml:space="preserve">Trascorre del tempo tra l’introduzione della moneta nuova e l’aumento effettivo dei prezzi e questi ultimi non aumentano in modo </w:t>
      </w:r>
      <w:r>
        <w:rPr>
          <w:rStyle w:val="Enfasicorsivo"/>
        </w:rPr>
        <w:t>uniforme</w:t>
      </w:r>
      <w:r>
        <w:t>. Vediamo perché:</w:t>
      </w:r>
      <w:r>
        <w:br/>
      </w:r>
      <w:r>
        <w:br/>
      </w:r>
      <w:r>
        <w:rPr>
          <w:rStyle w:val="Enfasicorsivo"/>
        </w:rPr>
        <w:t xml:space="preserve">Siamo sempre al mercato e stavolta ci occupiamo di Dario il macellaio. </w:t>
      </w:r>
      <w:r>
        <w:rPr>
          <w:i/>
          <w:iCs/>
        </w:rPr>
        <w:br/>
      </w:r>
      <w:r>
        <w:rPr>
          <w:i/>
          <w:iCs/>
        </w:rPr>
        <w:br/>
      </w:r>
      <w:r>
        <w:rPr>
          <w:rStyle w:val="Enfasicorsivo"/>
        </w:rPr>
        <w:t>Anna è vegetariana, Carla e Beatrice spendono ogni settimana 10 euro per comprare del filetto ed a fine giornata Giorgio l’ortolano destina un terzo dei suoi ricavi (10 euro) all’acquisto di carne.</w:t>
      </w:r>
      <w:r>
        <w:rPr>
          <w:i/>
          <w:iCs/>
        </w:rPr>
        <w:br/>
      </w:r>
      <w:r>
        <w:rPr>
          <w:i/>
          <w:iCs/>
        </w:rPr>
        <w:br/>
      </w:r>
      <w:r>
        <w:rPr>
          <w:rStyle w:val="Enfasicorsivo"/>
        </w:rPr>
        <w:t>Immaginiamo che la prima settimana il prezzo della carne sia di 10 euro al Kg e che Dario abbia in negozio 3 Kg di carne, che vengono tutti venduti. Per tre settimane tutto continua come prima fino alla sera della quarta settimana, quando Giorgio arriva in negozio con 13 euro (ne ha incassati 37,5) e vorrebbe acquistare della carne che però non c'è.</w:t>
      </w:r>
      <w:r>
        <w:rPr>
          <w:i/>
          <w:iCs/>
        </w:rPr>
        <w:br/>
      </w:r>
      <w:r>
        <w:rPr>
          <w:i/>
          <w:iCs/>
        </w:rPr>
        <w:br/>
      </w:r>
      <w:r>
        <w:rPr>
          <w:rStyle w:val="Enfasicorsivo"/>
        </w:rPr>
        <w:t xml:space="preserve">Che cosa accadrà la settimana seguente al prezzo della carne? </w:t>
      </w:r>
      <w:r>
        <w:rPr>
          <w:i/>
          <w:iCs/>
        </w:rPr>
        <w:br/>
      </w:r>
      <w:r>
        <w:rPr>
          <w:i/>
          <w:iCs/>
        </w:rPr>
        <w:br/>
      </w:r>
      <w:r>
        <w:rPr>
          <w:rStyle w:val="Enfasicorsivo"/>
        </w:rPr>
        <w:t>Dario lo aumenta ad 11 euro al chilogrammo! Tra l'altro sua moglie Laura sì era lamentata con lui per l’"immotivato" aumento del prezzo delle patate....</w:t>
      </w:r>
      <w:r>
        <w:br/>
      </w:r>
      <w:r>
        <w:br/>
      </w:r>
      <w:r>
        <w:br/>
        <w:t xml:space="preserve">Col passare del tempo, man mano che la nuova moneta “circola” nell'economia, vi sono adeguamenti nei prezzi di tutti i beni (ed eventualmente anche nei salari), ma </w:t>
      </w:r>
      <w:r>
        <w:rPr>
          <w:rStyle w:val="Enfasigrassetto"/>
        </w:rPr>
        <w:t>in tempi ed in modalità diverse</w:t>
      </w:r>
      <w:r>
        <w:t>: la settimana successiva all'introduzione dei 10 euro falsi il prezzo delle patate è aumentato del 25% mentre quella seguente è toccato alla carne rincarare del 10%.</w:t>
      </w:r>
      <w:r>
        <w:br/>
      </w:r>
      <w:r>
        <w:br/>
        <w:t xml:space="preserve">L’effetto globale è proprio quello di un </w:t>
      </w:r>
      <w:r>
        <w:rPr>
          <w:rStyle w:val="Enfasicorsivo"/>
        </w:rPr>
        <w:t>aumento continuo e generalizzato dei prezzi e dei salari</w:t>
      </w:r>
      <w:r>
        <w:t xml:space="preserve"> accompagnato da un </w:t>
      </w:r>
      <w:r>
        <w:rPr>
          <w:rStyle w:val="Enfasigrassetto"/>
        </w:rPr>
        <w:t>trasferimento di ricchezza reale</w:t>
      </w:r>
      <w:r>
        <w:t xml:space="preserve"> dagli ultimi a “ricevere la moneta nuova” (i salariati il cui stipendio aumenta solo alla fine) verso i primi ad utilizzarla.</w:t>
      </w:r>
      <w:r>
        <w:br/>
      </w:r>
      <w:r>
        <w:br/>
      </w:r>
    </w:p>
    <w:p w:rsidR="0043699C" w:rsidRDefault="0043699C" w:rsidP="0043699C">
      <w:pPr>
        <w:pStyle w:val="NormaleWeb"/>
      </w:pPr>
      <w:r>
        <w:t> </w:t>
      </w:r>
    </w:p>
    <w:p w:rsidR="0043699C" w:rsidRDefault="0043699C" w:rsidP="0043699C">
      <w:pPr>
        <w:jc w:val="center"/>
        <w:rPr>
          <w:rFonts w:ascii="Trebuchet MS" w:hAnsi="Trebuchet MS"/>
          <w:color w:val="000000"/>
          <w:sz w:val="17"/>
          <w:szCs w:val="17"/>
        </w:rPr>
      </w:pPr>
    </w:p>
    <w:p w:rsidR="0043699C" w:rsidRDefault="0043699C" w:rsidP="0043699C"/>
    <w:p w:rsidR="0043699C" w:rsidRDefault="0043699C" w:rsidP="0043699C"/>
    <w:p w:rsidR="001F411C" w:rsidRDefault="001F411C" w:rsidP="0043699C"/>
    <w:p w:rsidR="001F411C" w:rsidRDefault="001F411C" w:rsidP="0043699C"/>
    <w:p w:rsidR="001F411C" w:rsidRDefault="001F411C" w:rsidP="0043699C"/>
    <w:p w:rsidR="001F411C" w:rsidRDefault="001F411C" w:rsidP="0043699C"/>
    <w:p w:rsidR="001F411C" w:rsidRDefault="001F411C" w:rsidP="0043699C"/>
    <w:p w:rsidR="001F411C" w:rsidRDefault="001F411C" w:rsidP="0043699C"/>
    <w:p w:rsidR="00667984" w:rsidRDefault="00667984" w:rsidP="0043699C">
      <w:pPr>
        <w:spacing w:after="0" w:line="240" w:lineRule="auto"/>
        <w:rPr>
          <w:rFonts w:ascii="Times New Roman" w:eastAsia="Times New Roman" w:hAnsi="Times New Roman" w:cs="Times New Roman"/>
          <w:b/>
          <w:bCs/>
          <w:color w:val="000000"/>
          <w:sz w:val="24"/>
          <w:szCs w:val="24"/>
          <w:lang w:eastAsia="it-IT"/>
        </w:rPr>
      </w:pPr>
    </w:p>
    <w:p w:rsidR="00667984" w:rsidRDefault="00667984" w:rsidP="0043699C">
      <w:pPr>
        <w:spacing w:after="0" w:line="240" w:lineRule="auto"/>
        <w:rPr>
          <w:rFonts w:ascii="Times New Roman" w:eastAsia="Times New Roman" w:hAnsi="Times New Roman" w:cs="Times New Roman"/>
          <w:b/>
          <w:bCs/>
          <w:color w:val="000000"/>
          <w:sz w:val="24"/>
          <w:szCs w:val="24"/>
          <w:lang w:eastAsia="it-IT"/>
        </w:rPr>
      </w:pPr>
    </w:p>
    <w:p w:rsidR="00F54AA0" w:rsidRDefault="0043699C" w:rsidP="0043699C">
      <w:pPr>
        <w:spacing w:after="0" w:line="240" w:lineRule="auto"/>
        <w:rPr>
          <w:rFonts w:ascii="Times New Roman" w:eastAsia="Times New Roman" w:hAnsi="Times New Roman" w:cs="Times New Roman"/>
          <w:color w:val="000000"/>
          <w:sz w:val="24"/>
          <w:szCs w:val="24"/>
          <w:lang w:eastAsia="it-IT"/>
        </w:rPr>
      </w:pPr>
      <w:r w:rsidRPr="0043699C">
        <w:rPr>
          <w:rFonts w:ascii="Times New Roman" w:eastAsia="Times New Roman" w:hAnsi="Times New Roman" w:cs="Times New Roman"/>
          <w:b/>
          <w:bCs/>
          <w:color w:val="000000"/>
          <w:sz w:val="24"/>
          <w:szCs w:val="24"/>
          <w:lang w:eastAsia="it-IT"/>
        </w:rPr>
        <w:t>Tipologie</w:t>
      </w:r>
      <w:r w:rsidRPr="0043699C">
        <w:rPr>
          <w:rFonts w:ascii="Times New Roman" w:eastAsia="Times New Roman" w:hAnsi="Times New Roman" w:cs="Times New Roman"/>
          <w:color w:val="000000"/>
          <w:sz w:val="24"/>
          <w:szCs w:val="24"/>
          <w:lang w:eastAsia="it-IT"/>
        </w:rPr>
        <w:br/>
        <w:t>Rispetto alla sua intensità, l’inflazione viene definita:</w:t>
      </w:r>
    </w:p>
    <w:p w:rsidR="00F54AA0" w:rsidRDefault="0043699C" w:rsidP="0043699C">
      <w:pPr>
        <w:spacing w:after="0" w:line="240" w:lineRule="auto"/>
        <w:rPr>
          <w:rFonts w:ascii="Times New Roman" w:eastAsia="Times New Roman" w:hAnsi="Times New Roman" w:cs="Times New Roman"/>
          <w:color w:val="000000"/>
          <w:sz w:val="24"/>
          <w:szCs w:val="24"/>
          <w:lang w:eastAsia="it-IT"/>
        </w:rPr>
      </w:pPr>
      <w:r w:rsidRPr="0043699C">
        <w:rPr>
          <w:rFonts w:ascii="Times New Roman" w:eastAsia="Times New Roman" w:hAnsi="Times New Roman" w:cs="Times New Roman"/>
          <w:color w:val="000000"/>
          <w:sz w:val="24"/>
          <w:szCs w:val="24"/>
          <w:lang w:eastAsia="it-IT"/>
        </w:rPr>
        <w:br/>
      </w:r>
      <w:r w:rsidRPr="0043699C">
        <w:rPr>
          <w:rFonts w:ascii="Times New Roman" w:eastAsia="Times New Roman" w:hAnsi="Times New Roman" w:cs="Times New Roman"/>
          <w:b/>
          <w:color w:val="000000"/>
          <w:sz w:val="24"/>
          <w:szCs w:val="24"/>
          <w:lang w:eastAsia="it-IT"/>
        </w:rPr>
        <w:t>STRISCIANTE</w:t>
      </w:r>
      <w:r w:rsidRPr="0043699C">
        <w:rPr>
          <w:rFonts w:ascii="Times New Roman" w:eastAsia="Times New Roman" w:hAnsi="Times New Roman" w:cs="Times New Roman"/>
          <w:color w:val="000000"/>
          <w:sz w:val="24"/>
          <w:szCs w:val="24"/>
          <w:lang w:eastAsia="it-IT"/>
        </w:rPr>
        <w:t>: se l’aumento dei prezzi non è particolarmente elevato (2 – 4 %);</w:t>
      </w:r>
      <w:r w:rsidR="00F54AA0">
        <w:rPr>
          <w:rFonts w:ascii="Times New Roman" w:eastAsia="Times New Roman" w:hAnsi="Times New Roman" w:cs="Times New Roman"/>
          <w:color w:val="000000"/>
          <w:sz w:val="24"/>
          <w:szCs w:val="24"/>
          <w:lang w:eastAsia="it-IT"/>
        </w:rPr>
        <w:t xml:space="preserve"> questo tipo di inflazione si  manifesta in quasi </w:t>
      </w:r>
      <w:proofErr w:type="spellStart"/>
      <w:r w:rsidR="00F54AA0">
        <w:rPr>
          <w:rFonts w:ascii="Times New Roman" w:eastAsia="Times New Roman" w:hAnsi="Times New Roman" w:cs="Times New Roman"/>
          <w:color w:val="000000"/>
          <w:sz w:val="24"/>
          <w:szCs w:val="24"/>
          <w:lang w:eastAsia="it-IT"/>
        </w:rPr>
        <w:t>tuitti</w:t>
      </w:r>
      <w:proofErr w:type="spellEnd"/>
      <w:r w:rsidR="00F54AA0">
        <w:rPr>
          <w:rFonts w:ascii="Times New Roman" w:eastAsia="Times New Roman" w:hAnsi="Times New Roman" w:cs="Times New Roman"/>
          <w:color w:val="000000"/>
          <w:sz w:val="24"/>
          <w:szCs w:val="24"/>
          <w:lang w:eastAsia="it-IT"/>
        </w:rPr>
        <w:t xml:space="preserve"> i moderni sistemi economici.</w:t>
      </w:r>
    </w:p>
    <w:p w:rsidR="00F54AA0" w:rsidRDefault="0043699C" w:rsidP="0043699C">
      <w:pPr>
        <w:spacing w:after="0" w:line="240" w:lineRule="auto"/>
        <w:rPr>
          <w:rFonts w:ascii="Times New Roman" w:eastAsia="Times New Roman" w:hAnsi="Times New Roman" w:cs="Times New Roman"/>
          <w:color w:val="000000"/>
          <w:sz w:val="24"/>
          <w:szCs w:val="24"/>
          <w:lang w:eastAsia="it-IT"/>
        </w:rPr>
      </w:pPr>
      <w:r w:rsidRPr="0043699C">
        <w:rPr>
          <w:rFonts w:ascii="Times New Roman" w:eastAsia="Times New Roman" w:hAnsi="Times New Roman" w:cs="Times New Roman"/>
          <w:color w:val="000000"/>
          <w:sz w:val="24"/>
          <w:szCs w:val="24"/>
          <w:lang w:eastAsia="it-IT"/>
        </w:rPr>
        <w:br/>
      </w:r>
      <w:r w:rsidR="00F54AA0">
        <w:rPr>
          <w:rFonts w:ascii="Times New Roman" w:eastAsia="Times New Roman" w:hAnsi="Times New Roman" w:cs="Times New Roman"/>
          <w:b/>
          <w:color w:val="000000"/>
          <w:sz w:val="24"/>
          <w:szCs w:val="24"/>
          <w:lang w:eastAsia="it-IT"/>
        </w:rPr>
        <w:t>MODERATA</w:t>
      </w:r>
      <w:r w:rsidRPr="0043699C">
        <w:rPr>
          <w:rFonts w:ascii="Times New Roman" w:eastAsia="Times New Roman" w:hAnsi="Times New Roman" w:cs="Times New Roman"/>
          <w:color w:val="000000"/>
          <w:sz w:val="24"/>
          <w:szCs w:val="24"/>
          <w:lang w:eastAsia="it-IT"/>
        </w:rPr>
        <w:t>: se il tasso annuo supera il 5%;</w:t>
      </w:r>
      <w:r w:rsidR="00F54AA0">
        <w:rPr>
          <w:rFonts w:ascii="Times New Roman" w:eastAsia="Times New Roman" w:hAnsi="Times New Roman" w:cs="Times New Roman"/>
          <w:color w:val="000000"/>
          <w:sz w:val="24"/>
          <w:szCs w:val="24"/>
          <w:lang w:eastAsia="it-IT"/>
        </w:rPr>
        <w:t xml:space="preserve"> ma sempre inferiore al 10%. </w:t>
      </w:r>
      <w:r w:rsidR="00F54AA0">
        <w:rPr>
          <w:rFonts w:ascii="Times New Roman" w:eastAsia="Times New Roman" w:hAnsi="Times New Roman" w:cs="Times New Roman"/>
          <w:color w:val="000000"/>
          <w:sz w:val="24"/>
          <w:szCs w:val="24"/>
          <w:lang w:eastAsia="it-IT"/>
        </w:rPr>
        <w:tab/>
        <w:t>Questo tipo di inflazione può innescare la cosiddetta spirale inflazionistica, cioè quel fenomeno a catena che dà vita ad un circolo vizioso di inflazione sempre crescente</w:t>
      </w:r>
      <w:r w:rsidR="00F54AA0">
        <w:rPr>
          <w:rFonts w:ascii="Times New Roman" w:eastAsia="Times New Roman" w:hAnsi="Times New Roman" w:cs="Times New Roman"/>
          <w:color w:val="000000"/>
          <w:sz w:val="24"/>
          <w:szCs w:val="24"/>
          <w:lang w:eastAsia="it-IT"/>
        </w:rPr>
        <w:tab/>
      </w:r>
    </w:p>
    <w:p w:rsidR="0043699C" w:rsidRPr="0043699C" w:rsidRDefault="0043699C" w:rsidP="0043699C">
      <w:pPr>
        <w:spacing w:after="0" w:line="240" w:lineRule="auto"/>
        <w:rPr>
          <w:rFonts w:ascii="Times New Roman" w:eastAsia="Times New Roman" w:hAnsi="Times New Roman" w:cs="Times New Roman"/>
          <w:color w:val="000000"/>
          <w:sz w:val="24"/>
          <w:szCs w:val="24"/>
          <w:lang w:eastAsia="it-IT"/>
        </w:rPr>
      </w:pPr>
      <w:r w:rsidRPr="0043699C">
        <w:rPr>
          <w:rFonts w:ascii="Times New Roman" w:eastAsia="Times New Roman" w:hAnsi="Times New Roman" w:cs="Times New Roman"/>
          <w:color w:val="000000"/>
          <w:sz w:val="24"/>
          <w:szCs w:val="24"/>
          <w:lang w:eastAsia="it-IT"/>
        </w:rPr>
        <w:br/>
      </w:r>
      <w:r w:rsidRPr="0043699C">
        <w:rPr>
          <w:rFonts w:ascii="Times New Roman" w:eastAsia="Times New Roman" w:hAnsi="Times New Roman" w:cs="Times New Roman"/>
          <w:b/>
          <w:color w:val="000000"/>
          <w:sz w:val="24"/>
          <w:szCs w:val="24"/>
          <w:lang w:eastAsia="it-IT"/>
        </w:rPr>
        <w:t>IPERINFLAZIONE</w:t>
      </w:r>
      <w:r w:rsidRPr="0043699C">
        <w:rPr>
          <w:rFonts w:ascii="Times New Roman" w:eastAsia="Times New Roman" w:hAnsi="Times New Roman" w:cs="Times New Roman"/>
          <w:color w:val="000000"/>
          <w:sz w:val="24"/>
          <w:szCs w:val="24"/>
          <w:lang w:eastAsia="it-IT"/>
        </w:rPr>
        <w:t>: nel caso in cui il tasso aumenti del 20%.</w:t>
      </w:r>
      <w:r w:rsidR="00F54AA0">
        <w:rPr>
          <w:rFonts w:ascii="Times New Roman" w:eastAsia="Times New Roman" w:hAnsi="Times New Roman" w:cs="Times New Roman"/>
          <w:color w:val="000000"/>
          <w:sz w:val="24"/>
          <w:szCs w:val="24"/>
          <w:lang w:eastAsia="it-IT"/>
        </w:rPr>
        <w:t xml:space="preserve"> E’ la conseguenza del perdurare della spirale inflazionistica che porta al cosiddetto punto critico, quando viene meno la fiducia della popolazione nella moneta del proprio Stato, il cui valore diminuisce continuamente. Tutti quindi in questo caso cercheranno di investire nei cosiddetti “beni rifugio” (oro, immobili…) Così facendo aumenterà la domanda di beni e la  velocità di circolazione della moneta che farà lievitare ancora di più i prezzi fino ad arr</w:t>
      </w:r>
      <w:r w:rsidR="00667984">
        <w:rPr>
          <w:rFonts w:ascii="Times New Roman" w:eastAsia="Times New Roman" w:hAnsi="Times New Roman" w:cs="Times New Roman"/>
          <w:color w:val="000000"/>
          <w:sz w:val="24"/>
          <w:szCs w:val="24"/>
          <w:lang w:eastAsia="it-IT"/>
        </w:rPr>
        <w:t>i</w:t>
      </w:r>
      <w:r w:rsidR="00F54AA0">
        <w:rPr>
          <w:rFonts w:ascii="Times New Roman" w:eastAsia="Times New Roman" w:hAnsi="Times New Roman" w:cs="Times New Roman"/>
          <w:color w:val="000000"/>
          <w:sz w:val="24"/>
          <w:szCs w:val="24"/>
          <w:lang w:eastAsia="it-IT"/>
        </w:rPr>
        <w:t>vare, in ca</w:t>
      </w:r>
      <w:r w:rsidR="00667984">
        <w:rPr>
          <w:rFonts w:ascii="Times New Roman" w:eastAsia="Times New Roman" w:hAnsi="Times New Roman" w:cs="Times New Roman"/>
          <w:color w:val="000000"/>
          <w:sz w:val="24"/>
          <w:szCs w:val="24"/>
          <w:lang w:eastAsia="it-IT"/>
        </w:rPr>
        <w:t>si</w:t>
      </w:r>
      <w:r w:rsidR="00F54AA0">
        <w:rPr>
          <w:rFonts w:ascii="Times New Roman" w:eastAsia="Times New Roman" w:hAnsi="Times New Roman" w:cs="Times New Roman"/>
          <w:color w:val="000000"/>
          <w:sz w:val="24"/>
          <w:szCs w:val="24"/>
          <w:lang w:eastAsia="it-IT"/>
        </w:rPr>
        <w:t xml:space="preserve"> estremi, al collasso del sistema.</w:t>
      </w:r>
    </w:p>
    <w:p w:rsidR="00BD4EB9" w:rsidRDefault="00BD4EB9" w:rsidP="0043699C">
      <w:pPr>
        <w:spacing w:after="0" w:line="240" w:lineRule="auto"/>
        <w:rPr>
          <w:rFonts w:ascii="Times New Roman" w:eastAsia="Times New Roman" w:hAnsi="Times New Roman" w:cs="Times New Roman"/>
          <w:b/>
          <w:bCs/>
          <w:color w:val="000000"/>
          <w:sz w:val="24"/>
          <w:szCs w:val="24"/>
          <w:lang w:eastAsia="it-IT"/>
        </w:rPr>
      </w:pPr>
    </w:p>
    <w:p w:rsidR="00F54AA0" w:rsidRDefault="00F54AA0" w:rsidP="0043699C">
      <w:pPr>
        <w:spacing w:after="0" w:line="240" w:lineRule="auto"/>
        <w:rPr>
          <w:rFonts w:ascii="Times New Roman" w:eastAsia="Times New Roman" w:hAnsi="Times New Roman" w:cs="Times New Roman"/>
          <w:b/>
          <w:bCs/>
          <w:color w:val="000000"/>
          <w:sz w:val="24"/>
          <w:szCs w:val="24"/>
          <w:lang w:eastAsia="it-IT"/>
        </w:rPr>
      </w:pPr>
    </w:p>
    <w:p w:rsidR="00E65FF3" w:rsidRPr="00E65FF3" w:rsidRDefault="00E65FF3" w:rsidP="00E65FF3">
      <w:pPr>
        <w:numPr>
          <w:ilvl w:val="0"/>
          <w:numId w:val="1"/>
        </w:numPr>
        <w:spacing w:before="100" w:beforeAutospacing="1" w:after="150" w:line="240" w:lineRule="atLeast"/>
        <w:ind w:left="300"/>
        <w:rPr>
          <w:rFonts w:ascii="Times New Roman" w:eastAsia="Times New Roman" w:hAnsi="Times New Roman" w:cs="Times New Roman"/>
          <w:color w:val="000000"/>
          <w:sz w:val="24"/>
          <w:szCs w:val="24"/>
          <w:lang w:eastAsia="it-IT"/>
        </w:rPr>
      </w:pPr>
      <w:r w:rsidRPr="00E65FF3">
        <w:rPr>
          <w:rFonts w:ascii="Times New Roman" w:eastAsia="Times New Roman" w:hAnsi="Times New Roman" w:cs="Times New Roman"/>
          <w:b/>
          <w:bCs/>
          <w:color w:val="000000"/>
          <w:sz w:val="24"/>
          <w:szCs w:val="24"/>
          <w:lang w:eastAsia="it-IT"/>
        </w:rPr>
        <w:t>Inflazione da domanda</w:t>
      </w:r>
      <w:r w:rsidRPr="00E65FF3">
        <w:rPr>
          <w:rFonts w:ascii="Times New Roman" w:eastAsia="Times New Roman" w:hAnsi="Times New Roman" w:cs="Times New Roman"/>
          <w:b/>
          <w:bCs/>
          <w:color w:val="000000"/>
          <w:sz w:val="24"/>
          <w:szCs w:val="24"/>
          <w:lang w:eastAsia="it-IT"/>
        </w:rPr>
        <w:br/>
      </w:r>
      <w:r w:rsidRPr="00E65FF3">
        <w:rPr>
          <w:rFonts w:ascii="Times New Roman" w:eastAsia="Times New Roman" w:hAnsi="Times New Roman" w:cs="Times New Roman"/>
          <w:color w:val="000000"/>
          <w:sz w:val="24"/>
          <w:szCs w:val="24"/>
          <w:lang w:eastAsia="it-IT"/>
        </w:rPr>
        <w:t xml:space="preserve">Nel caso dell'inflazione da domanda i prezzi dei beni e servizi aumentano in conseguenza della crescita della domanda dei consumatori e delle imprese. L'offerta non si adegua istantaneamente alla domanda generando la crescita dei prezzi. </w:t>
      </w:r>
    </w:p>
    <w:p w:rsidR="00E65FF3" w:rsidRPr="00E65FF3" w:rsidRDefault="00E65FF3" w:rsidP="00E65FF3">
      <w:pPr>
        <w:numPr>
          <w:ilvl w:val="0"/>
          <w:numId w:val="1"/>
        </w:numPr>
        <w:spacing w:before="100" w:beforeAutospacing="1" w:after="150" w:line="240" w:lineRule="atLeast"/>
        <w:ind w:left="300"/>
        <w:rPr>
          <w:rFonts w:ascii="Times New Roman" w:eastAsia="Times New Roman" w:hAnsi="Times New Roman" w:cs="Times New Roman"/>
          <w:color w:val="000000"/>
          <w:sz w:val="24"/>
          <w:szCs w:val="24"/>
          <w:lang w:eastAsia="it-IT"/>
        </w:rPr>
      </w:pPr>
      <w:r w:rsidRPr="00E65FF3">
        <w:rPr>
          <w:rFonts w:ascii="Times New Roman" w:eastAsia="Times New Roman" w:hAnsi="Times New Roman" w:cs="Times New Roman"/>
          <w:b/>
          <w:bCs/>
          <w:color w:val="000000"/>
          <w:sz w:val="24"/>
          <w:szCs w:val="24"/>
          <w:lang w:eastAsia="it-IT"/>
        </w:rPr>
        <w:t>Inflazione da costi</w:t>
      </w:r>
      <w:r w:rsidRPr="00E65FF3">
        <w:rPr>
          <w:rFonts w:ascii="Times New Roman" w:eastAsia="Times New Roman" w:hAnsi="Times New Roman" w:cs="Times New Roman"/>
          <w:color w:val="000000"/>
          <w:sz w:val="24"/>
          <w:szCs w:val="24"/>
          <w:lang w:eastAsia="it-IT"/>
        </w:rPr>
        <w:br/>
        <w:t>Nel caso dell'inflazione da costi il rincaro dei prezzi non è causato dalla domanda, bensì dalla crescita dei costi produttivi (es. petrolio, materie prime, salari ecc). Le due origini dell'inflazione delineano due scenari inflattivi ben diversi.</w:t>
      </w:r>
    </w:p>
    <w:p w:rsidR="00F54AA0" w:rsidRDefault="00F54AA0" w:rsidP="0043699C">
      <w:pPr>
        <w:spacing w:after="0" w:line="240" w:lineRule="auto"/>
        <w:rPr>
          <w:rFonts w:ascii="Times New Roman" w:eastAsia="Times New Roman" w:hAnsi="Times New Roman" w:cs="Times New Roman"/>
          <w:b/>
          <w:bCs/>
          <w:color w:val="000000"/>
          <w:sz w:val="24"/>
          <w:szCs w:val="24"/>
          <w:lang w:eastAsia="it-IT"/>
        </w:rPr>
      </w:pPr>
    </w:p>
    <w:p w:rsidR="00E65FF3" w:rsidRDefault="00E65FF3" w:rsidP="00E65FF3">
      <w:pPr>
        <w:spacing w:after="0" w:line="240" w:lineRule="auto"/>
        <w:rPr>
          <w:rFonts w:ascii="Times New Roman" w:eastAsia="Times New Roman" w:hAnsi="Times New Roman" w:cs="Times New Roman"/>
          <w:b/>
          <w:bCs/>
          <w:color w:val="000000"/>
          <w:sz w:val="24"/>
          <w:szCs w:val="24"/>
          <w:lang w:eastAsia="it-IT"/>
        </w:rPr>
      </w:pPr>
      <w:r w:rsidRPr="0043699C">
        <w:rPr>
          <w:rFonts w:ascii="Times New Roman" w:eastAsia="Times New Roman" w:hAnsi="Times New Roman" w:cs="Times New Roman"/>
          <w:b/>
          <w:bCs/>
          <w:color w:val="000000"/>
          <w:sz w:val="24"/>
          <w:szCs w:val="24"/>
          <w:lang w:eastAsia="it-IT"/>
        </w:rPr>
        <w:t>Combattere l'inflazione</w:t>
      </w:r>
    </w:p>
    <w:p w:rsidR="00E65FF3" w:rsidRDefault="00E65FF3" w:rsidP="00E65FF3">
      <w:pPr>
        <w:spacing w:after="0" w:line="240" w:lineRule="auto"/>
        <w:rPr>
          <w:rFonts w:ascii="Times New Roman" w:eastAsia="Times New Roman" w:hAnsi="Times New Roman" w:cs="Times New Roman"/>
          <w:color w:val="000000"/>
          <w:sz w:val="24"/>
          <w:szCs w:val="24"/>
          <w:lang w:eastAsia="it-IT"/>
        </w:rPr>
      </w:pPr>
      <w:r w:rsidRPr="0043699C">
        <w:rPr>
          <w:rFonts w:ascii="Times New Roman" w:eastAsia="Times New Roman" w:hAnsi="Times New Roman" w:cs="Times New Roman"/>
          <w:color w:val="000000"/>
          <w:sz w:val="24"/>
          <w:szCs w:val="24"/>
          <w:lang w:eastAsia="it-IT"/>
        </w:rPr>
        <w:br/>
        <w:t>Esiste una ‘cura’ contro l’inflazione? Le tipologie di intervento delle politiche dipendono dalle diverse cause dell’inflazione:</w:t>
      </w:r>
    </w:p>
    <w:p w:rsidR="00E65FF3" w:rsidRDefault="00E65FF3" w:rsidP="00E65FF3">
      <w:pPr>
        <w:spacing w:after="0" w:line="240" w:lineRule="auto"/>
        <w:rPr>
          <w:rFonts w:ascii="Times New Roman" w:eastAsia="Times New Roman" w:hAnsi="Times New Roman" w:cs="Times New Roman"/>
          <w:color w:val="000000"/>
          <w:sz w:val="24"/>
          <w:szCs w:val="24"/>
          <w:lang w:eastAsia="it-IT"/>
        </w:rPr>
      </w:pPr>
      <w:r w:rsidRPr="0043699C">
        <w:rPr>
          <w:rFonts w:ascii="Times New Roman" w:eastAsia="Times New Roman" w:hAnsi="Times New Roman" w:cs="Times New Roman"/>
          <w:color w:val="000000"/>
          <w:sz w:val="24"/>
          <w:szCs w:val="24"/>
          <w:lang w:eastAsia="it-IT"/>
        </w:rPr>
        <w:br/>
        <w:t>- Se l’inflazione è dovuta ad “eccesso di moneta” è necessario ridurre la moneta in circolazione;</w:t>
      </w:r>
    </w:p>
    <w:p w:rsidR="00E65FF3" w:rsidRDefault="00E65FF3" w:rsidP="00E65FF3">
      <w:pPr>
        <w:spacing w:after="0" w:line="240" w:lineRule="auto"/>
        <w:rPr>
          <w:rFonts w:ascii="Times New Roman" w:eastAsia="Times New Roman" w:hAnsi="Times New Roman" w:cs="Times New Roman"/>
          <w:color w:val="000000"/>
          <w:sz w:val="24"/>
          <w:szCs w:val="24"/>
          <w:lang w:eastAsia="it-IT"/>
        </w:rPr>
      </w:pPr>
      <w:r w:rsidRPr="0043699C">
        <w:rPr>
          <w:rFonts w:ascii="Times New Roman" w:eastAsia="Times New Roman" w:hAnsi="Times New Roman" w:cs="Times New Roman"/>
          <w:color w:val="000000"/>
          <w:sz w:val="24"/>
          <w:szCs w:val="24"/>
          <w:lang w:eastAsia="it-IT"/>
        </w:rPr>
        <w:br/>
        <w:t>- Se l’inflazione è originata da “eccesso di domanda” è necessario contrarre i consumi, ridurre gli investimenti, controllare il bilancio pubblico (con politiche fiscali e monetarie restrittive);</w:t>
      </w:r>
    </w:p>
    <w:p w:rsidR="00E65FF3" w:rsidRDefault="00E65FF3" w:rsidP="00E65FF3">
      <w:pPr>
        <w:spacing w:after="0" w:line="240" w:lineRule="auto"/>
        <w:rPr>
          <w:rFonts w:ascii="Times New Roman" w:eastAsia="Times New Roman" w:hAnsi="Times New Roman" w:cs="Times New Roman"/>
          <w:color w:val="000000"/>
          <w:sz w:val="24"/>
          <w:szCs w:val="24"/>
          <w:lang w:eastAsia="it-IT"/>
        </w:rPr>
      </w:pPr>
      <w:r w:rsidRPr="0043699C">
        <w:rPr>
          <w:rFonts w:ascii="Times New Roman" w:eastAsia="Times New Roman" w:hAnsi="Times New Roman" w:cs="Times New Roman"/>
          <w:color w:val="000000"/>
          <w:sz w:val="24"/>
          <w:szCs w:val="24"/>
          <w:lang w:eastAsia="it-IT"/>
        </w:rPr>
        <w:br/>
        <w:t>- Se l’inflazione è originata dai costi è necessario frenare la crescita degli stessi (salari, profitti, ecc.) o incrementare la produttività (politiche dei redditi).</w:t>
      </w:r>
    </w:p>
    <w:p w:rsidR="00E65FF3" w:rsidRPr="0043699C" w:rsidRDefault="00E65FF3" w:rsidP="00E65FF3">
      <w:pPr>
        <w:spacing w:after="0" w:line="240" w:lineRule="auto"/>
        <w:rPr>
          <w:rFonts w:ascii="Times New Roman" w:eastAsia="Times New Roman" w:hAnsi="Times New Roman" w:cs="Times New Roman"/>
          <w:color w:val="000000"/>
          <w:sz w:val="24"/>
          <w:szCs w:val="24"/>
          <w:lang w:eastAsia="it-IT"/>
        </w:rPr>
      </w:pPr>
      <w:r w:rsidRPr="0043699C">
        <w:rPr>
          <w:rFonts w:ascii="Times New Roman" w:eastAsia="Times New Roman" w:hAnsi="Times New Roman" w:cs="Times New Roman"/>
          <w:color w:val="000000"/>
          <w:sz w:val="24"/>
          <w:szCs w:val="24"/>
          <w:lang w:eastAsia="it-IT"/>
        </w:rPr>
        <w:br/>
        <w:t>In Italia, negli ultimi anni, per affrontare l’inflazione sono state adottate delle politiche dei redditi di</w:t>
      </w:r>
      <w:r w:rsidRPr="0043699C">
        <w:rPr>
          <w:rFonts w:ascii="Times New Roman" w:eastAsia="Times New Roman" w:hAnsi="Times New Roman" w:cs="Times New Roman"/>
          <w:color w:val="000000"/>
          <w:sz w:val="24"/>
          <w:szCs w:val="24"/>
          <w:lang w:eastAsia="it-IT"/>
        </w:rPr>
        <w:br/>
        <w:t>tipo restrittivo, visto che le variabili monetarie sono di fatto condizionate dalla Banca Centrale Europea (BCE) e vista anche la difficoltà ad applicare efficacemente la politica fiscale.</w:t>
      </w:r>
    </w:p>
    <w:p w:rsidR="00F54AA0" w:rsidRDefault="00F54AA0" w:rsidP="0043699C">
      <w:pPr>
        <w:spacing w:after="0" w:line="240" w:lineRule="auto"/>
        <w:rPr>
          <w:rFonts w:ascii="Times New Roman" w:eastAsia="Times New Roman" w:hAnsi="Times New Roman" w:cs="Times New Roman"/>
          <w:b/>
          <w:bCs/>
          <w:color w:val="000000"/>
          <w:sz w:val="24"/>
          <w:szCs w:val="24"/>
          <w:lang w:eastAsia="it-IT"/>
        </w:rPr>
      </w:pPr>
    </w:p>
    <w:p w:rsidR="00E65FF3" w:rsidRDefault="00E65FF3" w:rsidP="0043699C">
      <w:pPr>
        <w:spacing w:after="0" w:line="240" w:lineRule="auto"/>
        <w:rPr>
          <w:rFonts w:ascii="Times New Roman" w:eastAsia="Times New Roman" w:hAnsi="Times New Roman" w:cs="Times New Roman"/>
          <w:b/>
          <w:bCs/>
          <w:color w:val="000000"/>
          <w:sz w:val="24"/>
          <w:szCs w:val="24"/>
          <w:lang w:eastAsia="it-IT"/>
        </w:rPr>
      </w:pPr>
    </w:p>
    <w:p w:rsidR="00B7534A" w:rsidRPr="00B12323" w:rsidRDefault="00B7534A" w:rsidP="00B7534A">
      <w:pPr>
        <w:spacing w:before="100" w:beforeAutospacing="1" w:after="100" w:afterAutospacing="1" w:line="240" w:lineRule="auto"/>
        <w:jc w:val="both"/>
        <w:outlineLvl w:val="1"/>
        <w:rPr>
          <w:rFonts w:ascii="Times New Roman" w:eastAsia="Times New Roman" w:hAnsi="Times New Roman" w:cs="Times New Roman"/>
          <w:b/>
          <w:bCs/>
          <w:sz w:val="36"/>
          <w:szCs w:val="36"/>
          <w:lang w:eastAsia="it-IT"/>
        </w:rPr>
      </w:pPr>
      <w:r w:rsidRPr="00B12323">
        <w:rPr>
          <w:rFonts w:ascii="Times New Roman" w:eastAsia="Times New Roman" w:hAnsi="Times New Roman" w:cs="Times New Roman"/>
          <w:b/>
          <w:bCs/>
          <w:sz w:val="36"/>
          <w:szCs w:val="36"/>
          <w:lang w:eastAsia="it-IT"/>
        </w:rPr>
        <w:lastRenderedPageBreak/>
        <w:t>Il calcolo dell'inflazione</w:t>
      </w: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Il calcolo del numero indice dei prezzi al tempo </w:t>
      </w:r>
      <w:r w:rsidRPr="00B12323">
        <w:rPr>
          <w:rFonts w:ascii="Times New Roman" w:eastAsia="Times New Roman" w:hAnsi="Times New Roman" w:cs="Times New Roman"/>
          <w:i/>
          <w:iCs/>
          <w:sz w:val="24"/>
          <w:szCs w:val="24"/>
          <w:lang w:eastAsia="it-IT"/>
        </w:rPr>
        <w:t>t</w:t>
      </w:r>
      <w:r w:rsidRPr="00B12323">
        <w:rPr>
          <w:rFonts w:ascii="Times New Roman" w:eastAsia="Times New Roman" w:hAnsi="Times New Roman" w:cs="Times New Roman"/>
          <w:sz w:val="24"/>
          <w:szCs w:val="24"/>
          <w:lang w:eastAsia="it-IT"/>
        </w:rPr>
        <w:t xml:space="preserve">, assumendo come base il livello dei prezzi al tempo </w:t>
      </w:r>
      <w:r w:rsidRPr="00B12323">
        <w:rPr>
          <w:rFonts w:ascii="Times New Roman" w:eastAsia="Times New Roman" w:hAnsi="Times New Roman" w:cs="Times New Roman"/>
          <w:i/>
          <w:iCs/>
          <w:sz w:val="24"/>
          <w:szCs w:val="24"/>
          <w:lang w:eastAsia="it-IT"/>
        </w:rPr>
        <w:t>t-1</w:t>
      </w:r>
      <w:r w:rsidRPr="00B12323">
        <w:rPr>
          <w:rFonts w:ascii="Times New Roman" w:eastAsia="Times New Roman" w:hAnsi="Times New Roman" w:cs="Times New Roman"/>
          <w:sz w:val="24"/>
          <w:szCs w:val="24"/>
          <w:lang w:eastAsia="it-IT"/>
        </w:rPr>
        <w:t xml:space="preserve"> (ovvero, come spesso si usa dire, al tempo 1 con base il tempo 0), viene effettuato in tre fasi, l'ultima della quale si articola a sua volta in quattro sottofasi: </w:t>
      </w:r>
    </w:p>
    <w:p w:rsidR="00B7534A" w:rsidRPr="00B12323" w:rsidRDefault="00B7534A" w:rsidP="00B7534A">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b/>
          <w:i/>
          <w:iCs/>
          <w:sz w:val="24"/>
          <w:szCs w:val="24"/>
          <w:lang w:eastAsia="it-IT"/>
        </w:rPr>
        <w:t>costruzione del paniere</w:t>
      </w:r>
      <w:r w:rsidRPr="00B12323">
        <w:rPr>
          <w:rFonts w:ascii="Times New Roman" w:eastAsia="Times New Roman" w:hAnsi="Times New Roman" w:cs="Times New Roman"/>
          <w:sz w:val="24"/>
          <w:szCs w:val="24"/>
          <w:lang w:eastAsia="it-IT"/>
        </w:rPr>
        <w:t xml:space="preserve">: viene definito un insieme di beni, detto </w:t>
      </w:r>
      <w:hyperlink r:id="rId21" w:tooltip="Paniere" w:history="1">
        <w:r w:rsidRPr="00B12323">
          <w:rPr>
            <w:rFonts w:ascii="Times New Roman" w:eastAsia="Times New Roman" w:hAnsi="Times New Roman" w:cs="Times New Roman"/>
            <w:color w:val="0000FF"/>
            <w:sz w:val="24"/>
            <w:szCs w:val="24"/>
            <w:u w:val="single"/>
            <w:lang w:eastAsia="it-IT"/>
          </w:rPr>
          <w:t>paniere</w:t>
        </w:r>
      </w:hyperlink>
      <w:r w:rsidRPr="00B12323">
        <w:rPr>
          <w:rFonts w:ascii="Times New Roman" w:eastAsia="Times New Roman" w:hAnsi="Times New Roman" w:cs="Times New Roman"/>
          <w:sz w:val="24"/>
          <w:szCs w:val="24"/>
          <w:lang w:eastAsia="it-IT"/>
        </w:rPr>
        <w:t xml:space="preserve">, rappresentativo dei </w:t>
      </w:r>
      <w:hyperlink r:id="rId22" w:tooltip="Consumo" w:history="1">
        <w:r w:rsidRPr="00B12323">
          <w:rPr>
            <w:rFonts w:ascii="Times New Roman" w:eastAsia="Times New Roman" w:hAnsi="Times New Roman" w:cs="Times New Roman"/>
            <w:color w:val="0000FF"/>
            <w:sz w:val="24"/>
            <w:szCs w:val="24"/>
            <w:u w:val="single"/>
            <w:lang w:eastAsia="it-IT"/>
          </w:rPr>
          <w:t>consumi finali</w:t>
        </w:r>
      </w:hyperlink>
      <w:r w:rsidRPr="00B12323">
        <w:rPr>
          <w:rFonts w:ascii="Times New Roman" w:eastAsia="Times New Roman" w:hAnsi="Times New Roman" w:cs="Times New Roman"/>
          <w:sz w:val="24"/>
          <w:szCs w:val="24"/>
          <w:lang w:eastAsia="it-IT"/>
        </w:rPr>
        <w:t xml:space="preserve"> delle famiglie; </w:t>
      </w:r>
    </w:p>
    <w:p w:rsidR="00B7534A" w:rsidRPr="00B12323" w:rsidRDefault="00B7534A" w:rsidP="00B7534A">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b/>
          <w:i/>
          <w:iCs/>
          <w:sz w:val="24"/>
          <w:szCs w:val="24"/>
          <w:lang w:eastAsia="it-IT"/>
        </w:rPr>
        <w:t>costruzione del campione di prezzi rilevati</w:t>
      </w:r>
      <w:r w:rsidRPr="00B12323">
        <w:rPr>
          <w:rFonts w:ascii="Times New Roman" w:eastAsia="Times New Roman" w:hAnsi="Times New Roman" w:cs="Times New Roman"/>
          <w:sz w:val="24"/>
          <w:szCs w:val="24"/>
          <w:lang w:eastAsia="it-IT"/>
        </w:rPr>
        <w:t xml:space="preserve">: si individuano circa 33.000 negozi in 85 capoluoghi di provincia e, per ciascuno di essi, si seleziona una sola "referenza" (la marca più venduta di ciascun prodotto) per circa 1.030 prodotti; </w:t>
      </w:r>
    </w:p>
    <w:p w:rsidR="00B7534A" w:rsidRPr="00B12323" w:rsidRDefault="00B7534A" w:rsidP="00B7534A">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i/>
          <w:iCs/>
          <w:sz w:val="24"/>
          <w:szCs w:val="24"/>
          <w:lang w:eastAsia="it-IT"/>
        </w:rPr>
        <w:t>costruzione dell'indice</w:t>
      </w:r>
      <w:r w:rsidRPr="00B12323">
        <w:rPr>
          <w:rFonts w:ascii="Times New Roman" w:eastAsia="Times New Roman" w:hAnsi="Times New Roman" w:cs="Times New Roman"/>
          <w:sz w:val="24"/>
          <w:szCs w:val="24"/>
          <w:lang w:eastAsia="it-IT"/>
        </w:rPr>
        <w:t xml:space="preserve">: </w:t>
      </w:r>
    </w:p>
    <w:p w:rsidR="00B7534A" w:rsidRPr="00B12323" w:rsidRDefault="00B7534A" w:rsidP="00B7534A">
      <w:pPr>
        <w:numPr>
          <w:ilvl w:val="1"/>
          <w:numId w:val="10"/>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b/>
          <w:i/>
          <w:iCs/>
          <w:sz w:val="24"/>
          <w:szCs w:val="24"/>
          <w:lang w:eastAsia="it-IT"/>
        </w:rPr>
        <w:t>calcolo degli indici provinciali di prodotto</w:t>
      </w:r>
      <w:r w:rsidRPr="00B12323">
        <w:rPr>
          <w:rFonts w:ascii="Times New Roman" w:eastAsia="Times New Roman" w:hAnsi="Times New Roman" w:cs="Times New Roman"/>
          <w:sz w:val="24"/>
          <w:szCs w:val="24"/>
          <w:lang w:eastAsia="it-IT"/>
        </w:rPr>
        <w:t xml:space="preserve">: ciascuno di essi è una media geometrica degli indici semplici di prezzo (prezzo al tempo 1 diviso prezzo al tempo 0) rilevati presso ciascun negozio per ciascuna referenza; </w:t>
      </w:r>
    </w:p>
    <w:p w:rsidR="00B7534A" w:rsidRPr="00B12323" w:rsidRDefault="00B7534A" w:rsidP="00B7534A">
      <w:pPr>
        <w:numPr>
          <w:ilvl w:val="1"/>
          <w:numId w:val="10"/>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b/>
          <w:i/>
          <w:iCs/>
          <w:sz w:val="24"/>
          <w:szCs w:val="24"/>
          <w:lang w:eastAsia="it-IT"/>
        </w:rPr>
        <w:t>calcolo degli indici regionali di prodotto</w:t>
      </w:r>
      <w:r w:rsidRPr="00B12323">
        <w:rPr>
          <w:rFonts w:ascii="Times New Roman" w:eastAsia="Times New Roman" w:hAnsi="Times New Roman" w:cs="Times New Roman"/>
          <w:sz w:val="24"/>
          <w:szCs w:val="24"/>
          <w:lang w:eastAsia="it-IT"/>
        </w:rPr>
        <w:t xml:space="preserve">: ciascuno di essi è una media degli indici di prezzo provinciali, ponderati secondo la popolazione (a ciascun indice provinciale viene attribuito un peso pari al rapporto tra popolazione della provincia e popolazione della regione); </w:t>
      </w:r>
    </w:p>
    <w:p w:rsidR="00B7534A" w:rsidRPr="00B12323" w:rsidRDefault="00B7534A" w:rsidP="00B7534A">
      <w:pPr>
        <w:numPr>
          <w:ilvl w:val="1"/>
          <w:numId w:val="10"/>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b/>
          <w:i/>
          <w:iCs/>
          <w:sz w:val="24"/>
          <w:szCs w:val="24"/>
          <w:lang w:eastAsia="it-IT"/>
        </w:rPr>
        <w:t>calcolo degli indici nazionali di prodotto</w:t>
      </w:r>
      <w:r w:rsidRPr="00B12323">
        <w:rPr>
          <w:rFonts w:ascii="Times New Roman" w:eastAsia="Times New Roman" w:hAnsi="Times New Roman" w:cs="Times New Roman"/>
          <w:sz w:val="24"/>
          <w:szCs w:val="24"/>
          <w:lang w:eastAsia="it-IT"/>
        </w:rPr>
        <w:t xml:space="preserve">: ciascuno di essi è una media degli indici regionali, ponderata secondo i consumi (totale dei consumi finali nella regione diviso per il totale dei consumi finali nazionali); </w:t>
      </w:r>
    </w:p>
    <w:p w:rsidR="00B7534A" w:rsidRPr="00B12323" w:rsidRDefault="00B7534A" w:rsidP="00B7534A">
      <w:pPr>
        <w:numPr>
          <w:ilvl w:val="1"/>
          <w:numId w:val="10"/>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b/>
          <w:i/>
          <w:iCs/>
          <w:sz w:val="24"/>
          <w:szCs w:val="24"/>
          <w:lang w:eastAsia="it-IT"/>
        </w:rPr>
        <w:t>calcolo dell'indice generale dei prezzi al consumo</w:t>
      </w:r>
      <w:r w:rsidRPr="00B12323">
        <w:rPr>
          <w:rFonts w:ascii="Times New Roman" w:eastAsia="Times New Roman" w:hAnsi="Times New Roman" w:cs="Times New Roman"/>
          <w:sz w:val="24"/>
          <w:szCs w:val="24"/>
          <w:lang w:eastAsia="it-IT"/>
        </w:rPr>
        <w:t xml:space="preserve">: è una media degli indici di prodotto, ponderata secondo il rapporto tra la spesa sostenuta al tempo 0 per un prodotto e il totale della spesa, sempre al tempo 0, per tutti i prodotti presenti nel paniere. </w:t>
      </w: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In sostanza, dopo aver calcolato gli indici nazionali di prezzo dei prodotti, si calcola il numero indice generale come segue:</w:t>
      </w:r>
    </w:p>
    <w:p w:rsidR="00B7534A" w:rsidRPr="00B12323" w:rsidRDefault="00B7534A" w:rsidP="00B7534A">
      <w:pPr>
        <w:spacing w:after="0" w:line="240" w:lineRule="auto"/>
        <w:ind w:left="2844" w:firstLine="696"/>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noProof/>
          <w:sz w:val="24"/>
          <w:szCs w:val="24"/>
          <w:lang w:eastAsia="it-IT"/>
        </w:rPr>
        <w:drawing>
          <wp:inline distT="0" distB="0" distL="0" distR="0">
            <wp:extent cx="1123950" cy="447675"/>
            <wp:effectExtent l="19050" t="0" r="0" b="0"/>
            <wp:docPr id="2" name="Immagine 40" descr="I=\frac{\sum_{i=1}^nI_iw_i}{\sum_{i=1}^nw_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frac{\sum_{i=1}^nI_iw_i}{\sum_{i=1}^nw_i}"/>
                    <pic:cNvPicPr>
                      <a:picLocks noChangeAspect="1" noChangeArrowheads="1"/>
                    </pic:cNvPicPr>
                  </pic:nvPicPr>
                  <pic:blipFill>
                    <a:blip r:embed="rId23"/>
                    <a:srcRect/>
                    <a:stretch>
                      <a:fillRect/>
                    </a:stretch>
                  </pic:blipFill>
                  <pic:spPr bwMode="auto">
                    <a:xfrm>
                      <a:off x="0" y="0"/>
                      <a:ext cx="1123950" cy="447675"/>
                    </a:xfrm>
                    <a:prstGeom prst="rect">
                      <a:avLst/>
                    </a:prstGeom>
                    <a:noFill/>
                    <a:ln w="9525">
                      <a:noFill/>
                      <a:miter lim="800000"/>
                      <a:headEnd/>
                      <a:tailEnd/>
                    </a:ln>
                  </pic:spPr>
                </pic:pic>
              </a:graphicData>
            </a:graphic>
          </wp:inline>
        </w:drawing>
      </w: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dove:</w:t>
      </w:r>
    </w:p>
    <w:p w:rsidR="00B7534A" w:rsidRPr="00B12323" w:rsidRDefault="00B7534A" w:rsidP="00B7534A">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gli </w:t>
      </w:r>
      <w:proofErr w:type="spellStart"/>
      <w:r w:rsidRPr="00B12323">
        <w:rPr>
          <w:rFonts w:ascii="Times New Roman" w:eastAsia="Times New Roman" w:hAnsi="Times New Roman" w:cs="Times New Roman"/>
          <w:i/>
          <w:iCs/>
          <w:sz w:val="24"/>
          <w:szCs w:val="24"/>
          <w:lang w:eastAsia="it-IT"/>
        </w:rPr>
        <w:t>I</w:t>
      </w:r>
      <w:r w:rsidRPr="00B12323">
        <w:rPr>
          <w:rFonts w:ascii="Times New Roman" w:eastAsia="Times New Roman" w:hAnsi="Times New Roman" w:cs="Times New Roman"/>
          <w:sz w:val="24"/>
          <w:szCs w:val="24"/>
          <w:vertAlign w:val="subscript"/>
          <w:lang w:eastAsia="it-IT"/>
        </w:rPr>
        <w:t>i</w:t>
      </w:r>
      <w:proofErr w:type="spellEnd"/>
      <w:r w:rsidRPr="00B12323">
        <w:rPr>
          <w:rFonts w:ascii="Times New Roman" w:eastAsia="Times New Roman" w:hAnsi="Times New Roman" w:cs="Times New Roman"/>
          <w:sz w:val="24"/>
          <w:szCs w:val="24"/>
          <w:lang w:eastAsia="it-IT"/>
        </w:rPr>
        <w:t xml:space="preserve"> sono indici di prezzo di prodotto, quindi rapporti tra il prezzo al tempo 1 e quello al tempo 0 per ciascun prodotto: </w:t>
      </w:r>
    </w:p>
    <w:p w:rsidR="00B7534A" w:rsidRPr="00B12323" w:rsidRDefault="00B7534A" w:rsidP="00B7534A">
      <w:pPr>
        <w:spacing w:after="0" w:line="240" w:lineRule="auto"/>
        <w:ind w:left="720"/>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noProof/>
          <w:sz w:val="24"/>
          <w:szCs w:val="24"/>
          <w:lang w:eastAsia="it-IT"/>
        </w:rPr>
        <w:drawing>
          <wp:inline distT="0" distB="0" distL="0" distR="0">
            <wp:extent cx="628650" cy="381000"/>
            <wp:effectExtent l="19050" t="0" r="0" b="0"/>
            <wp:docPr id="4" name="Immagine 41" descr="I_i=\frac{p_{i1}}{p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_i=\frac{p_{i1}}{p_{i0}}"/>
                    <pic:cNvPicPr>
                      <a:picLocks noChangeAspect="1" noChangeArrowheads="1"/>
                    </pic:cNvPicPr>
                  </pic:nvPicPr>
                  <pic:blipFill>
                    <a:blip r:embed="rId24"/>
                    <a:srcRect/>
                    <a:stretch>
                      <a:fillRect/>
                    </a:stretch>
                  </pic:blipFill>
                  <pic:spPr bwMode="auto">
                    <a:xfrm>
                      <a:off x="0" y="0"/>
                      <a:ext cx="628650" cy="381000"/>
                    </a:xfrm>
                    <a:prstGeom prst="rect">
                      <a:avLst/>
                    </a:prstGeom>
                    <a:noFill/>
                    <a:ln w="9525">
                      <a:noFill/>
                      <a:miter lim="800000"/>
                      <a:headEnd/>
                      <a:tailEnd/>
                    </a:ln>
                  </pic:spPr>
                </pic:pic>
              </a:graphicData>
            </a:graphic>
          </wp:inline>
        </w:drawing>
      </w:r>
    </w:p>
    <w:p w:rsidR="00B7534A" w:rsidRPr="00B12323" w:rsidRDefault="00B7534A" w:rsidP="00B7534A">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i pesi </w:t>
      </w:r>
      <w:proofErr w:type="spellStart"/>
      <w:r w:rsidRPr="00B12323">
        <w:rPr>
          <w:rFonts w:ascii="Times New Roman" w:eastAsia="Times New Roman" w:hAnsi="Times New Roman" w:cs="Times New Roman"/>
          <w:i/>
          <w:iCs/>
          <w:sz w:val="24"/>
          <w:szCs w:val="24"/>
          <w:lang w:eastAsia="it-IT"/>
        </w:rPr>
        <w:t>w</w:t>
      </w:r>
      <w:r w:rsidRPr="00B12323">
        <w:rPr>
          <w:rFonts w:ascii="Times New Roman" w:eastAsia="Times New Roman" w:hAnsi="Times New Roman" w:cs="Times New Roman"/>
          <w:sz w:val="24"/>
          <w:szCs w:val="24"/>
          <w:vertAlign w:val="subscript"/>
          <w:lang w:eastAsia="it-IT"/>
        </w:rPr>
        <w:t>i</w:t>
      </w:r>
      <w:proofErr w:type="spellEnd"/>
      <w:r w:rsidRPr="00B12323">
        <w:rPr>
          <w:rFonts w:ascii="Times New Roman" w:eastAsia="Times New Roman" w:hAnsi="Times New Roman" w:cs="Times New Roman"/>
          <w:sz w:val="24"/>
          <w:szCs w:val="24"/>
          <w:lang w:eastAsia="it-IT"/>
        </w:rPr>
        <w:t xml:space="preserve"> sono calcolati come segue:</w:t>
      </w:r>
      <w:r>
        <w:rPr>
          <w:rFonts w:ascii="Times New Roman" w:eastAsia="Times New Roman" w:hAnsi="Times New Roman" w:cs="Times New Roman"/>
          <w:sz w:val="24"/>
          <w:szCs w:val="24"/>
          <w:lang w:eastAsia="it-IT"/>
        </w:rPr>
        <w:t xml:space="preserve">                   </w:t>
      </w:r>
      <w:r w:rsidRPr="00B12323">
        <w:rPr>
          <w:rFonts w:ascii="Times New Roman" w:eastAsia="Times New Roman" w:hAnsi="Times New Roman" w:cs="Times New Roman"/>
          <w:sz w:val="24"/>
          <w:szCs w:val="24"/>
          <w:lang w:eastAsia="it-IT"/>
        </w:rPr>
        <w:t xml:space="preserve"> </w:t>
      </w:r>
      <w:r w:rsidRPr="00B12323">
        <w:rPr>
          <w:rFonts w:ascii="Times New Roman" w:eastAsia="Times New Roman" w:hAnsi="Times New Roman" w:cs="Times New Roman"/>
          <w:noProof/>
          <w:sz w:val="24"/>
          <w:szCs w:val="24"/>
          <w:lang w:eastAsia="it-IT"/>
        </w:rPr>
        <w:drawing>
          <wp:inline distT="0" distB="0" distL="0" distR="0">
            <wp:extent cx="1304925" cy="400050"/>
            <wp:effectExtent l="19050" t="0" r="9525" b="0"/>
            <wp:docPr id="6" name="Immagine 42" descr="w_i=\frac{p_{i0}q_{i0}}{\sum_{i=1}^np_{i0}q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w_i=\frac{p_{i0}q_{i0}}{\sum_{i=1}^np_{i0}q_{i0}}"/>
                    <pic:cNvPicPr>
                      <a:picLocks noChangeAspect="1" noChangeArrowheads="1"/>
                    </pic:cNvPicPr>
                  </pic:nvPicPr>
                  <pic:blipFill>
                    <a:blip r:embed="rId25"/>
                    <a:srcRect/>
                    <a:stretch>
                      <a:fillRect/>
                    </a:stretch>
                  </pic:blipFill>
                  <pic:spPr bwMode="auto">
                    <a:xfrm>
                      <a:off x="0" y="0"/>
                      <a:ext cx="1304925" cy="400050"/>
                    </a:xfrm>
                    <a:prstGeom prst="rect">
                      <a:avLst/>
                    </a:prstGeom>
                    <a:noFill/>
                    <a:ln w="9525">
                      <a:noFill/>
                      <a:miter lim="800000"/>
                      <a:headEnd/>
                      <a:tailEnd/>
                    </a:ln>
                  </pic:spPr>
                </pic:pic>
              </a:graphicData>
            </a:graphic>
          </wp:inline>
        </w:drawing>
      </w:r>
      <w:r>
        <w:rPr>
          <w:rFonts w:ascii="Times New Roman" w:eastAsia="Times New Roman" w:hAnsi="Times New Roman" w:cs="Times New Roman"/>
          <w:sz w:val="24"/>
          <w:szCs w:val="24"/>
          <w:lang w:eastAsia="it-IT"/>
        </w:rPr>
        <w:t xml:space="preserve">          s</w:t>
      </w:r>
      <w:r w:rsidRPr="00B12323">
        <w:rPr>
          <w:rFonts w:ascii="Times New Roman" w:eastAsia="Times New Roman" w:hAnsi="Times New Roman" w:cs="Times New Roman"/>
          <w:sz w:val="24"/>
          <w:szCs w:val="24"/>
          <w:lang w:eastAsia="it-IT"/>
        </w:rPr>
        <w:t>i ha quindi</w:t>
      </w:r>
    </w:p>
    <w:p w:rsidR="00B7534A" w:rsidRPr="00B12323" w:rsidRDefault="00B7534A" w:rsidP="00B7534A">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w:t>
      </w:r>
      <w:r w:rsidRPr="00B12323">
        <w:rPr>
          <w:rFonts w:ascii="Times New Roman" w:eastAsia="Times New Roman" w:hAnsi="Times New Roman" w:cs="Times New Roman"/>
          <w:noProof/>
          <w:sz w:val="24"/>
          <w:szCs w:val="24"/>
          <w:lang w:eastAsia="it-IT"/>
        </w:rPr>
        <w:drawing>
          <wp:inline distT="0" distB="0" distL="0" distR="0">
            <wp:extent cx="3629025" cy="457200"/>
            <wp:effectExtent l="19050" t="0" r="9525" b="0"/>
            <wp:docPr id="8" name="Immagine 43" descr="I=\sum_{i=1}^n\frac{p_{i1}}{p_{i0}}w_i=\sum_{i=1}^n\frac{p_{i1}}{p_{i0}}\frac{p_{i0}q_{i0}}{\sum_{i=1}^np_{i0}q_{i0}}=\sum_{i=1}^n\frac{p_{i1}q_{i0}}{p_{i0}q_{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sum_{i=1}^n\frac{p_{i1}}{p_{i0}}w_i=\sum_{i=1}^n\frac{p_{i1}}{p_{i0}}\frac{p_{i0}q_{i0}}{\sum_{i=1}^np_{i0}q_{i0}}=\sum_{i=1}^n\frac{p_{i1}q_{i0}}{p_{i0}q_{i0}}"/>
                    <pic:cNvPicPr>
                      <a:picLocks noChangeAspect="1" noChangeArrowheads="1"/>
                    </pic:cNvPicPr>
                  </pic:nvPicPr>
                  <pic:blipFill>
                    <a:blip r:embed="rId26"/>
                    <a:srcRect/>
                    <a:stretch>
                      <a:fillRect/>
                    </a:stretch>
                  </pic:blipFill>
                  <pic:spPr bwMode="auto">
                    <a:xfrm>
                      <a:off x="0" y="0"/>
                      <a:ext cx="3629025" cy="457200"/>
                    </a:xfrm>
                    <a:prstGeom prst="rect">
                      <a:avLst/>
                    </a:prstGeom>
                    <a:noFill/>
                    <a:ln w="9525">
                      <a:noFill/>
                      <a:miter lim="800000"/>
                      <a:headEnd/>
                      <a:tailEnd/>
                    </a:ln>
                  </pic:spPr>
                </pic:pic>
              </a:graphicData>
            </a:graphic>
          </wp:inline>
        </w:drawing>
      </w: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che è un </w:t>
      </w:r>
      <w:hyperlink r:id="rId27" w:tooltip="Indice di Laspeyres" w:history="1">
        <w:r w:rsidRPr="00B12323">
          <w:rPr>
            <w:rFonts w:ascii="Times New Roman" w:eastAsia="Times New Roman" w:hAnsi="Times New Roman" w:cs="Times New Roman"/>
            <w:color w:val="0000FF"/>
            <w:sz w:val="24"/>
            <w:szCs w:val="24"/>
            <w:u w:val="single"/>
            <w:lang w:eastAsia="it-IT"/>
          </w:rPr>
          <w:t xml:space="preserve">indice di </w:t>
        </w:r>
        <w:proofErr w:type="spellStart"/>
        <w:r w:rsidRPr="00B12323">
          <w:rPr>
            <w:rFonts w:ascii="Times New Roman" w:eastAsia="Times New Roman" w:hAnsi="Times New Roman" w:cs="Times New Roman"/>
            <w:color w:val="0000FF"/>
            <w:sz w:val="24"/>
            <w:szCs w:val="24"/>
            <w:u w:val="single"/>
            <w:lang w:eastAsia="it-IT"/>
          </w:rPr>
          <w:t>Laspeyres</w:t>
        </w:r>
        <w:proofErr w:type="spellEnd"/>
      </w:hyperlink>
      <w:r w:rsidRPr="00B12323">
        <w:rPr>
          <w:rFonts w:ascii="Times New Roman" w:eastAsia="Times New Roman" w:hAnsi="Times New Roman" w:cs="Times New Roman"/>
          <w:sz w:val="24"/>
          <w:szCs w:val="24"/>
          <w:lang w:eastAsia="it-IT"/>
        </w:rPr>
        <w:t>, normalmente moltiplicato per 100.</w:t>
      </w: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Il </w:t>
      </w:r>
      <w:hyperlink r:id="rId28" w:tooltip="Tasso d'inflazione" w:history="1">
        <w:r w:rsidRPr="00B12323">
          <w:rPr>
            <w:rFonts w:ascii="Times New Roman" w:eastAsia="Times New Roman" w:hAnsi="Times New Roman" w:cs="Times New Roman"/>
            <w:color w:val="0000FF"/>
            <w:sz w:val="24"/>
            <w:szCs w:val="24"/>
            <w:u w:val="single"/>
            <w:lang w:eastAsia="it-IT"/>
          </w:rPr>
          <w:t>tasso d'inflazione</w:t>
        </w:r>
      </w:hyperlink>
      <w:r w:rsidRPr="00B12323">
        <w:rPr>
          <w:rFonts w:ascii="Times New Roman" w:eastAsia="Times New Roman" w:hAnsi="Times New Roman" w:cs="Times New Roman"/>
          <w:sz w:val="24"/>
          <w:szCs w:val="24"/>
          <w:lang w:eastAsia="it-IT"/>
        </w:rPr>
        <w:t xml:space="preserve"> non è altro che il </w:t>
      </w:r>
      <w:hyperlink r:id="rId29" w:tooltip="Tasso di crescita" w:history="1">
        <w:r w:rsidRPr="00B12323">
          <w:rPr>
            <w:rFonts w:ascii="Times New Roman" w:eastAsia="Times New Roman" w:hAnsi="Times New Roman" w:cs="Times New Roman"/>
            <w:color w:val="0000FF"/>
            <w:sz w:val="24"/>
            <w:szCs w:val="24"/>
            <w:u w:val="single"/>
            <w:lang w:eastAsia="it-IT"/>
          </w:rPr>
          <w:t>tasso di crescita</w:t>
        </w:r>
      </w:hyperlink>
      <w:r w:rsidRPr="00B12323">
        <w:rPr>
          <w:rFonts w:ascii="Times New Roman" w:eastAsia="Times New Roman" w:hAnsi="Times New Roman" w:cs="Times New Roman"/>
          <w:sz w:val="24"/>
          <w:szCs w:val="24"/>
          <w:lang w:eastAsia="it-IT"/>
        </w:rPr>
        <w:t xml:space="preserve"> dei numeri indici dei prezzi così calcolati.</w:t>
      </w:r>
    </w:p>
    <w:p w:rsidR="00B7534A"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Fino al </w:t>
      </w:r>
      <w:hyperlink r:id="rId30" w:tooltip="1998" w:history="1">
        <w:r w:rsidRPr="00B12323">
          <w:rPr>
            <w:rFonts w:ascii="Times New Roman" w:eastAsia="Times New Roman" w:hAnsi="Times New Roman" w:cs="Times New Roman"/>
            <w:color w:val="0000FF"/>
            <w:sz w:val="24"/>
            <w:szCs w:val="24"/>
            <w:u w:val="single"/>
            <w:lang w:eastAsia="it-IT"/>
          </w:rPr>
          <w:t>1998</w:t>
        </w:r>
      </w:hyperlink>
      <w:r w:rsidRPr="00B12323">
        <w:rPr>
          <w:rFonts w:ascii="Times New Roman" w:eastAsia="Times New Roman" w:hAnsi="Times New Roman" w:cs="Times New Roman"/>
          <w:sz w:val="24"/>
          <w:szCs w:val="24"/>
          <w:lang w:eastAsia="it-IT"/>
        </w:rPr>
        <w:t xml:space="preserve"> si usava l'indice di </w:t>
      </w:r>
      <w:proofErr w:type="spellStart"/>
      <w:r w:rsidRPr="00B12323">
        <w:rPr>
          <w:rFonts w:ascii="Times New Roman" w:eastAsia="Times New Roman" w:hAnsi="Times New Roman" w:cs="Times New Roman"/>
          <w:sz w:val="24"/>
          <w:szCs w:val="24"/>
          <w:lang w:eastAsia="it-IT"/>
        </w:rPr>
        <w:t>Laspeyres</w:t>
      </w:r>
      <w:proofErr w:type="spellEnd"/>
      <w:r w:rsidRPr="00B12323">
        <w:rPr>
          <w:rFonts w:ascii="Times New Roman" w:eastAsia="Times New Roman" w:hAnsi="Times New Roman" w:cs="Times New Roman"/>
          <w:sz w:val="24"/>
          <w:szCs w:val="24"/>
          <w:lang w:eastAsia="it-IT"/>
        </w:rPr>
        <w:t xml:space="preserve"> </w:t>
      </w:r>
      <w:hyperlink r:id="rId31" w:tooltip="Numero indice" w:history="1">
        <w:r w:rsidRPr="00B12323">
          <w:rPr>
            <w:rFonts w:ascii="Times New Roman" w:eastAsia="Times New Roman" w:hAnsi="Times New Roman" w:cs="Times New Roman"/>
            <w:color w:val="0000FF"/>
            <w:sz w:val="24"/>
            <w:szCs w:val="24"/>
            <w:u w:val="single"/>
            <w:lang w:eastAsia="it-IT"/>
          </w:rPr>
          <w:t>a base fissa</w:t>
        </w:r>
      </w:hyperlink>
      <w:r w:rsidRPr="00B12323">
        <w:rPr>
          <w:rFonts w:ascii="Times New Roman" w:eastAsia="Times New Roman" w:hAnsi="Times New Roman" w:cs="Times New Roman"/>
          <w:sz w:val="24"/>
          <w:szCs w:val="24"/>
          <w:lang w:eastAsia="it-IT"/>
        </w:rPr>
        <w:t xml:space="preserve">, nel senso che il sistema dei pesi </w:t>
      </w:r>
      <w:proofErr w:type="spellStart"/>
      <w:r w:rsidRPr="00B12323">
        <w:rPr>
          <w:rFonts w:ascii="Times New Roman" w:eastAsia="Times New Roman" w:hAnsi="Times New Roman" w:cs="Times New Roman"/>
          <w:i/>
          <w:iCs/>
          <w:sz w:val="24"/>
          <w:szCs w:val="24"/>
          <w:lang w:eastAsia="it-IT"/>
        </w:rPr>
        <w:t>w</w:t>
      </w:r>
      <w:r w:rsidRPr="00B12323">
        <w:rPr>
          <w:rFonts w:ascii="Times New Roman" w:eastAsia="Times New Roman" w:hAnsi="Times New Roman" w:cs="Times New Roman"/>
          <w:sz w:val="24"/>
          <w:szCs w:val="24"/>
          <w:vertAlign w:val="subscript"/>
          <w:lang w:eastAsia="it-IT"/>
        </w:rPr>
        <w:t>i</w:t>
      </w:r>
      <w:proofErr w:type="spellEnd"/>
      <w:r w:rsidRPr="00B12323">
        <w:rPr>
          <w:rFonts w:ascii="Times New Roman" w:eastAsia="Times New Roman" w:hAnsi="Times New Roman" w:cs="Times New Roman"/>
          <w:sz w:val="24"/>
          <w:szCs w:val="24"/>
          <w:lang w:eastAsia="it-IT"/>
        </w:rPr>
        <w:t xml:space="preserve"> rilevato nell'anno scelto come base rimaneva in vigore per diversi anni successivi. </w:t>
      </w: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Dal gennaio </w:t>
      </w:r>
      <w:hyperlink r:id="rId32" w:tooltip="1999" w:history="1">
        <w:r w:rsidRPr="00B12323">
          <w:rPr>
            <w:rFonts w:ascii="Times New Roman" w:eastAsia="Times New Roman" w:hAnsi="Times New Roman" w:cs="Times New Roman"/>
            <w:color w:val="0000FF"/>
            <w:sz w:val="24"/>
            <w:szCs w:val="24"/>
            <w:u w:val="single"/>
            <w:lang w:eastAsia="it-IT"/>
          </w:rPr>
          <w:t>1999</w:t>
        </w:r>
      </w:hyperlink>
      <w:r w:rsidRPr="00B12323">
        <w:rPr>
          <w:rFonts w:ascii="Times New Roman" w:eastAsia="Times New Roman" w:hAnsi="Times New Roman" w:cs="Times New Roman"/>
          <w:sz w:val="24"/>
          <w:szCs w:val="24"/>
          <w:lang w:eastAsia="it-IT"/>
        </w:rPr>
        <w:t xml:space="preserve"> si usa invece l'indice di </w:t>
      </w:r>
      <w:proofErr w:type="spellStart"/>
      <w:r w:rsidRPr="00B12323">
        <w:rPr>
          <w:rFonts w:ascii="Times New Roman" w:eastAsia="Times New Roman" w:hAnsi="Times New Roman" w:cs="Times New Roman"/>
          <w:sz w:val="24"/>
          <w:szCs w:val="24"/>
          <w:lang w:eastAsia="it-IT"/>
        </w:rPr>
        <w:t>Laspeyres</w:t>
      </w:r>
      <w:proofErr w:type="spellEnd"/>
      <w:r w:rsidRPr="00B12323">
        <w:rPr>
          <w:rFonts w:ascii="Times New Roman" w:eastAsia="Times New Roman" w:hAnsi="Times New Roman" w:cs="Times New Roman"/>
          <w:sz w:val="24"/>
          <w:szCs w:val="24"/>
          <w:lang w:eastAsia="it-IT"/>
        </w:rPr>
        <w:t xml:space="preserve"> </w:t>
      </w:r>
      <w:hyperlink r:id="rId33" w:tooltip="Indice a catena" w:history="1">
        <w:r w:rsidRPr="00B12323">
          <w:rPr>
            <w:rFonts w:ascii="Times New Roman" w:eastAsia="Times New Roman" w:hAnsi="Times New Roman" w:cs="Times New Roman"/>
            <w:color w:val="0000FF"/>
            <w:sz w:val="24"/>
            <w:szCs w:val="24"/>
            <w:u w:val="single"/>
            <w:lang w:eastAsia="it-IT"/>
          </w:rPr>
          <w:t>concatenato</w:t>
        </w:r>
      </w:hyperlink>
      <w:r w:rsidRPr="00B12323">
        <w:rPr>
          <w:rFonts w:ascii="Times New Roman" w:eastAsia="Times New Roman" w:hAnsi="Times New Roman" w:cs="Times New Roman"/>
          <w:sz w:val="24"/>
          <w:szCs w:val="24"/>
          <w:lang w:eastAsia="it-IT"/>
        </w:rPr>
        <w:t>; si aggiornano quindi annualmente i pesi utilizzati nel calcolo, che sono ora costituiti dalle quote di spesa per ciascun bene o servizio sul totale della spesa delle famiglie come rilevate al dicembre dell'anno precedente. Si rivede inoltre periodicamente la composizione del paniere.</w:t>
      </w: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L'indice dei prezzi viene calcolato ogni mese e si distingue tra:</w:t>
      </w:r>
    </w:p>
    <w:p w:rsidR="00B7534A" w:rsidRPr="00B12323" w:rsidRDefault="00B7534A" w:rsidP="00B7534A">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tasso di inflazione </w:t>
      </w:r>
      <w:r w:rsidRPr="00B12323">
        <w:rPr>
          <w:rFonts w:ascii="Times New Roman" w:eastAsia="Times New Roman" w:hAnsi="Times New Roman" w:cs="Times New Roman"/>
          <w:b/>
          <w:i/>
          <w:iCs/>
          <w:sz w:val="24"/>
          <w:szCs w:val="24"/>
          <w:lang w:eastAsia="it-IT"/>
        </w:rPr>
        <w:t>congiunturale</w:t>
      </w:r>
      <w:r w:rsidRPr="00B12323">
        <w:rPr>
          <w:rFonts w:ascii="Times New Roman" w:eastAsia="Times New Roman" w:hAnsi="Times New Roman" w:cs="Times New Roman"/>
          <w:sz w:val="24"/>
          <w:szCs w:val="24"/>
          <w:lang w:eastAsia="it-IT"/>
        </w:rPr>
        <w:t xml:space="preserve">, che esprime la variazione rispetto al mese precedente; indicando con </w:t>
      </w:r>
      <w:proofErr w:type="spellStart"/>
      <w:r w:rsidRPr="00B12323">
        <w:rPr>
          <w:rFonts w:ascii="Times New Roman" w:eastAsia="Times New Roman" w:hAnsi="Times New Roman" w:cs="Times New Roman"/>
          <w:i/>
          <w:iCs/>
          <w:sz w:val="24"/>
          <w:szCs w:val="24"/>
          <w:lang w:eastAsia="it-IT"/>
        </w:rPr>
        <w:t>I</w:t>
      </w:r>
      <w:r w:rsidRPr="00B12323">
        <w:rPr>
          <w:rFonts w:ascii="Times New Roman" w:eastAsia="Times New Roman" w:hAnsi="Times New Roman" w:cs="Times New Roman"/>
          <w:i/>
          <w:iCs/>
          <w:sz w:val="24"/>
          <w:szCs w:val="24"/>
          <w:vertAlign w:val="subscript"/>
          <w:lang w:eastAsia="it-IT"/>
        </w:rPr>
        <w:t>a</w:t>
      </w:r>
      <w:proofErr w:type="spellEnd"/>
      <w:r w:rsidRPr="00B12323">
        <w:rPr>
          <w:rFonts w:ascii="Times New Roman" w:eastAsia="Times New Roman" w:hAnsi="Times New Roman" w:cs="Times New Roman"/>
          <w:sz w:val="24"/>
          <w:szCs w:val="24"/>
          <w:vertAlign w:val="subscript"/>
          <w:lang w:eastAsia="it-IT"/>
        </w:rPr>
        <w:t>:</w:t>
      </w:r>
      <w:r w:rsidRPr="00B12323">
        <w:rPr>
          <w:rFonts w:ascii="Times New Roman" w:eastAsia="Times New Roman" w:hAnsi="Times New Roman" w:cs="Times New Roman"/>
          <w:i/>
          <w:iCs/>
          <w:sz w:val="24"/>
          <w:szCs w:val="24"/>
          <w:vertAlign w:val="subscript"/>
          <w:lang w:eastAsia="it-IT"/>
        </w:rPr>
        <w:t>m</w:t>
      </w:r>
      <w:r w:rsidRPr="00B12323">
        <w:rPr>
          <w:rFonts w:ascii="Times New Roman" w:eastAsia="Times New Roman" w:hAnsi="Times New Roman" w:cs="Times New Roman"/>
          <w:sz w:val="24"/>
          <w:szCs w:val="24"/>
          <w:lang w:eastAsia="it-IT"/>
        </w:rPr>
        <w:t xml:space="preserve"> l'indice dei prezzi del mese </w:t>
      </w:r>
      <w:r w:rsidRPr="00B12323">
        <w:rPr>
          <w:rFonts w:ascii="Times New Roman" w:eastAsia="Times New Roman" w:hAnsi="Times New Roman" w:cs="Times New Roman"/>
          <w:i/>
          <w:iCs/>
          <w:sz w:val="24"/>
          <w:szCs w:val="24"/>
          <w:lang w:eastAsia="it-IT"/>
        </w:rPr>
        <w:t>m</w:t>
      </w:r>
      <w:r w:rsidRPr="00B12323">
        <w:rPr>
          <w:rFonts w:ascii="Times New Roman" w:eastAsia="Times New Roman" w:hAnsi="Times New Roman" w:cs="Times New Roman"/>
          <w:sz w:val="24"/>
          <w:szCs w:val="24"/>
          <w:lang w:eastAsia="it-IT"/>
        </w:rPr>
        <w:t xml:space="preserve"> dell'anno </w:t>
      </w:r>
      <w:r w:rsidRPr="00B12323">
        <w:rPr>
          <w:rFonts w:ascii="Times New Roman" w:eastAsia="Times New Roman" w:hAnsi="Times New Roman" w:cs="Times New Roman"/>
          <w:i/>
          <w:iCs/>
          <w:sz w:val="24"/>
          <w:szCs w:val="24"/>
          <w:lang w:eastAsia="it-IT"/>
        </w:rPr>
        <w:t>a</w:t>
      </w:r>
      <w:r w:rsidRPr="00B12323">
        <w:rPr>
          <w:rFonts w:ascii="Times New Roman" w:eastAsia="Times New Roman" w:hAnsi="Times New Roman" w:cs="Times New Roman"/>
          <w:sz w:val="24"/>
          <w:szCs w:val="24"/>
          <w:lang w:eastAsia="it-IT"/>
        </w:rPr>
        <w:t xml:space="preserve"> rispetto al dicembre dell'anno precedente, si ha: </w:t>
      </w:r>
    </w:p>
    <w:p w:rsidR="00B7534A" w:rsidRPr="00B12323" w:rsidRDefault="00B7534A" w:rsidP="00B7534A">
      <w:pPr>
        <w:spacing w:before="100" w:beforeAutospacing="1" w:after="100" w:afterAutospacing="1" w:line="240" w:lineRule="auto"/>
        <w:ind w:left="720"/>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noProof/>
          <w:sz w:val="24"/>
          <w:szCs w:val="24"/>
          <w:lang w:eastAsia="it-IT"/>
        </w:rPr>
        <w:drawing>
          <wp:inline distT="0" distB="0" distL="0" distR="0">
            <wp:extent cx="1476375" cy="485775"/>
            <wp:effectExtent l="19050" t="0" r="9525" b="0"/>
            <wp:docPr id="9" name="Immagine 44" descr="\left(\frac{I_{a:m}}{I_{a:m-1}}-1\right)\cdot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left(\frac{I_{a:m}}{I_{a:m-1}}-1\right)\cdot 100"/>
                    <pic:cNvPicPr>
                      <a:picLocks noChangeAspect="1" noChangeArrowheads="1"/>
                    </pic:cNvPicPr>
                  </pic:nvPicPr>
                  <pic:blipFill>
                    <a:blip r:embed="rId34"/>
                    <a:srcRect/>
                    <a:stretch>
                      <a:fillRect/>
                    </a:stretch>
                  </pic:blipFill>
                  <pic:spPr bwMode="auto">
                    <a:xfrm>
                      <a:off x="0" y="0"/>
                      <a:ext cx="1476375" cy="485775"/>
                    </a:xfrm>
                    <a:prstGeom prst="rect">
                      <a:avLst/>
                    </a:prstGeom>
                    <a:noFill/>
                    <a:ln w="9525">
                      <a:noFill/>
                      <a:miter lim="800000"/>
                      <a:headEnd/>
                      <a:tailEnd/>
                    </a:ln>
                  </pic:spPr>
                </pic:pic>
              </a:graphicData>
            </a:graphic>
          </wp:inline>
        </w:drawing>
      </w:r>
    </w:p>
    <w:p w:rsidR="00B7534A" w:rsidRPr="00B12323" w:rsidRDefault="00B7534A" w:rsidP="00B7534A">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tasso di inflazione </w:t>
      </w:r>
      <w:r w:rsidRPr="00B12323">
        <w:rPr>
          <w:rFonts w:ascii="Times New Roman" w:eastAsia="Times New Roman" w:hAnsi="Times New Roman" w:cs="Times New Roman"/>
          <w:b/>
          <w:i/>
          <w:iCs/>
          <w:sz w:val="24"/>
          <w:szCs w:val="24"/>
          <w:lang w:eastAsia="it-IT"/>
        </w:rPr>
        <w:t>tendenziale</w:t>
      </w:r>
      <w:r w:rsidRPr="00B12323">
        <w:rPr>
          <w:rFonts w:ascii="Times New Roman" w:eastAsia="Times New Roman" w:hAnsi="Times New Roman" w:cs="Times New Roman"/>
          <w:sz w:val="24"/>
          <w:szCs w:val="24"/>
          <w:lang w:eastAsia="it-IT"/>
        </w:rPr>
        <w:t xml:space="preserve">, che esprime la variazione rispetto allo stesso mese dell'anno precedente: </w:t>
      </w:r>
    </w:p>
    <w:p w:rsidR="00B7534A" w:rsidRPr="00B12323" w:rsidRDefault="00B7534A" w:rsidP="00B7534A">
      <w:pPr>
        <w:spacing w:before="100" w:beforeAutospacing="1" w:after="100" w:afterAutospacing="1" w:line="240" w:lineRule="auto"/>
        <w:ind w:left="720"/>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noProof/>
          <w:sz w:val="24"/>
          <w:szCs w:val="24"/>
          <w:lang w:eastAsia="it-IT"/>
        </w:rPr>
        <w:drawing>
          <wp:inline distT="0" distB="0" distL="0" distR="0">
            <wp:extent cx="1476375" cy="485775"/>
            <wp:effectExtent l="19050" t="0" r="9525" b="0"/>
            <wp:docPr id="10" name="Immagine 45" descr="\left(\frac{I_{a:m}}{I_{a-1:m}}-1\right)\cdot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left(\frac{I_{a:m}}{I_{a-1:m}}-1\right)\cdot 100"/>
                    <pic:cNvPicPr>
                      <a:picLocks noChangeAspect="1" noChangeArrowheads="1"/>
                    </pic:cNvPicPr>
                  </pic:nvPicPr>
                  <pic:blipFill>
                    <a:blip r:embed="rId35"/>
                    <a:srcRect/>
                    <a:stretch>
                      <a:fillRect/>
                    </a:stretch>
                  </pic:blipFill>
                  <pic:spPr bwMode="auto">
                    <a:xfrm>
                      <a:off x="0" y="0"/>
                      <a:ext cx="1476375" cy="485775"/>
                    </a:xfrm>
                    <a:prstGeom prst="rect">
                      <a:avLst/>
                    </a:prstGeom>
                    <a:noFill/>
                    <a:ln w="9525">
                      <a:noFill/>
                      <a:miter lim="800000"/>
                      <a:headEnd/>
                      <a:tailEnd/>
                    </a:ln>
                  </pic:spPr>
                </pic:pic>
              </a:graphicData>
            </a:graphic>
          </wp:inline>
        </w:drawing>
      </w:r>
    </w:p>
    <w:p w:rsidR="00B7534A" w:rsidRPr="00B12323" w:rsidRDefault="00B7534A" w:rsidP="00B7534A">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tasso di inflazione </w:t>
      </w:r>
      <w:r w:rsidRPr="00B12323">
        <w:rPr>
          <w:rFonts w:ascii="Times New Roman" w:eastAsia="Times New Roman" w:hAnsi="Times New Roman" w:cs="Times New Roman"/>
          <w:b/>
          <w:i/>
          <w:iCs/>
          <w:sz w:val="24"/>
          <w:szCs w:val="24"/>
          <w:lang w:eastAsia="it-IT"/>
        </w:rPr>
        <w:t>annuale</w:t>
      </w:r>
      <w:r w:rsidRPr="00B12323">
        <w:rPr>
          <w:rFonts w:ascii="Times New Roman" w:eastAsia="Times New Roman" w:hAnsi="Times New Roman" w:cs="Times New Roman"/>
          <w:sz w:val="24"/>
          <w:szCs w:val="24"/>
          <w:lang w:eastAsia="it-IT"/>
        </w:rPr>
        <w:t xml:space="preserve">, che è la variazione della media dei dodici indici rispetto alla media dei dodici indici dell'anno precedente: </w:t>
      </w:r>
    </w:p>
    <w:p w:rsidR="00B7534A" w:rsidRPr="00B12323" w:rsidRDefault="00B7534A" w:rsidP="00B7534A">
      <w:pPr>
        <w:spacing w:before="100" w:beforeAutospacing="1" w:after="100" w:afterAutospacing="1" w:line="240" w:lineRule="auto"/>
        <w:ind w:left="720"/>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noProof/>
          <w:sz w:val="24"/>
          <w:szCs w:val="24"/>
          <w:lang w:eastAsia="it-IT"/>
        </w:rPr>
        <w:drawing>
          <wp:inline distT="0" distB="0" distL="0" distR="0">
            <wp:extent cx="4181475" cy="676275"/>
            <wp:effectExtent l="19050" t="0" r="9525" b="0"/>
            <wp:docPr id="11" name="Immagine 46" descr="\left(\frac{\frac{\sum_{m=1}^{12}I_{a:m}}{12}}{\frac{\sum_{m=1}^{12}I_{a-1:m}}{12}}-1\right)\cdot 100=\left(\frac{\sum_{m=1}^{12}I_{a:m}}{\sum_{m=1}^{12}I_{a-1:m}}-1\right)\cdot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left(\frac{\frac{\sum_{m=1}^{12}I_{a:m}}{12}}{\frac{\sum_{m=1}^{12}I_{a-1:m}}{12}}-1\right)\cdot 100=\left(\frac{\sum_{m=1}^{12}I_{a:m}}{\sum_{m=1}^{12}I_{a-1:m}}-1\right)\cdot 100"/>
                    <pic:cNvPicPr>
                      <a:picLocks noChangeAspect="1" noChangeArrowheads="1"/>
                    </pic:cNvPicPr>
                  </pic:nvPicPr>
                  <pic:blipFill>
                    <a:blip r:embed="rId36"/>
                    <a:srcRect/>
                    <a:stretch>
                      <a:fillRect/>
                    </a:stretch>
                  </pic:blipFill>
                  <pic:spPr bwMode="auto">
                    <a:xfrm>
                      <a:off x="0" y="0"/>
                      <a:ext cx="4181475" cy="676275"/>
                    </a:xfrm>
                    <a:prstGeom prst="rect">
                      <a:avLst/>
                    </a:prstGeom>
                    <a:noFill/>
                    <a:ln w="9525">
                      <a:noFill/>
                      <a:miter lim="800000"/>
                      <a:headEnd/>
                      <a:tailEnd/>
                    </a:ln>
                  </pic:spPr>
                </pic:pic>
              </a:graphicData>
            </a:graphic>
          </wp:inline>
        </w:drawing>
      </w: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B7534A"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B7534A"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B7534A"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B7534A"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lastRenderedPageBreak/>
        <w:t xml:space="preserve">Da notare che, essendo piuttosto improbabile che si verifichi una diminuzione del livello generale dei prezzi, l'indice rilevato a dicembre di un qualsiasi anno è in generale superiore alla media dei dodici indici dello stesso anno. Ciò comporta che un tasso di inflazione annuale comprenda una componente </w:t>
      </w:r>
      <w:r w:rsidRPr="00B12323">
        <w:rPr>
          <w:rFonts w:ascii="Times New Roman" w:eastAsia="Times New Roman" w:hAnsi="Times New Roman" w:cs="Times New Roman"/>
          <w:b/>
          <w:i/>
          <w:iCs/>
          <w:sz w:val="24"/>
          <w:szCs w:val="24"/>
          <w:lang w:eastAsia="it-IT"/>
        </w:rPr>
        <w:t>propria</w:t>
      </w:r>
      <w:r w:rsidRPr="00B12323">
        <w:rPr>
          <w:rFonts w:ascii="Times New Roman" w:eastAsia="Times New Roman" w:hAnsi="Times New Roman" w:cs="Times New Roman"/>
          <w:sz w:val="24"/>
          <w:szCs w:val="24"/>
          <w:lang w:eastAsia="it-IT"/>
        </w:rPr>
        <w:t xml:space="preserve"> (la variazione verificatasi nell'anno) ed una componente </w:t>
      </w:r>
      <w:r w:rsidRPr="00B12323">
        <w:rPr>
          <w:rFonts w:ascii="Times New Roman" w:eastAsia="Times New Roman" w:hAnsi="Times New Roman" w:cs="Times New Roman"/>
          <w:b/>
          <w:i/>
          <w:iCs/>
          <w:sz w:val="24"/>
          <w:szCs w:val="24"/>
          <w:lang w:eastAsia="it-IT"/>
        </w:rPr>
        <w:t>acquisita</w:t>
      </w:r>
      <w:r w:rsidRPr="00B12323">
        <w:rPr>
          <w:rFonts w:ascii="Times New Roman" w:eastAsia="Times New Roman" w:hAnsi="Times New Roman" w:cs="Times New Roman"/>
          <w:sz w:val="24"/>
          <w:szCs w:val="24"/>
          <w:lang w:eastAsia="it-IT"/>
        </w:rPr>
        <w:t>, ereditata dall'anno precedente:</w:t>
      </w:r>
    </w:p>
    <w:tbl>
      <w:tblPr>
        <w:tblW w:w="0" w:type="dxa"/>
        <w:tblCellSpacing w:w="15" w:type="dxa"/>
        <w:tblCellMar>
          <w:left w:w="0" w:type="dxa"/>
          <w:right w:w="0" w:type="dxa"/>
        </w:tblCellMar>
        <w:tblLook w:val="04A0"/>
      </w:tblPr>
      <w:tblGrid>
        <w:gridCol w:w="627"/>
        <w:gridCol w:w="9647"/>
      </w:tblGrid>
      <w:tr w:rsidR="00B7534A" w:rsidRPr="00B12323" w:rsidTr="008C5745">
        <w:trPr>
          <w:tblCellSpacing w:w="15" w:type="dxa"/>
        </w:trPr>
        <w:tc>
          <w:tcPr>
            <w:tcW w:w="0" w:type="auto"/>
            <w:shd w:val="clear" w:color="auto" w:fill="auto"/>
            <w:tcMar>
              <w:top w:w="0" w:type="dxa"/>
              <w:left w:w="288" w:type="dxa"/>
              <w:bottom w:w="0" w:type="dxa"/>
              <w:right w:w="288" w:type="dxa"/>
            </w:tcMar>
            <w:hideMark/>
          </w:tcPr>
          <w:p w:rsidR="00B7534A" w:rsidRPr="00B12323" w:rsidRDefault="00B7534A" w:rsidP="008C5745">
            <w:pPr>
              <w:spacing w:after="120" w:line="240" w:lineRule="auto"/>
              <w:jc w:val="both"/>
              <w:rPr>
                <w:rFonts w:ascii="Times New Roman" w:eastAsia="Times New Roman" w:hAnsi="Times New Roman" w:cs="Times New Roman"/>
                <w:color w:val="000000"/>
                <w:sz w:val="23"/>
                <w:szCs w:val="23"/>
                <w:lang w:eastAsia="it-IT"/>
              </w:rPr>
            </w:pPr>
          </w:p>
        </w:tc>
        <w:tc>
          <w:tcPr>
            <w:tcW w:w="0" w:type="auto"/>
            <w:shd w:val="clear" w:color="auto" w:fill="auto"/>
            <w:tcMar>
              <w:top w:w="0" w:type="dxa"/>
              <w:left w:w="0" w:type="dxa"/>
              <w:bottom w:w="0" w:type="dxa"/>
              <w:right w:w="288" w:type="dxa"/>
            </w:tcMar>
            <w:vAlign w:val="center"/>
            <w:hideMark/>
          </w:tcPr>
          <w:p w:rsidR="00B7534A" w:rsidRPr="00B12323" w:rsidRDefault="00B7534A" w:rsidP="008C5745">
            <w:pPr>
              <w:spacing w:after="120" w:line="240" w:lineRule="auto"/>
              <w:jc w:val="both"/>
              <w:rPr>
                <w:rFonts w:ascii="Times New Roman" w:eastAsia="Times New Roman" w:hAnsi="Times New Roman" w:cs="Times New Roman"/>
                <w:color w:val="000000"/>
                <w:sz w:val="23"/>
                <w:szCs w:val="23"/>
                <w:lang w:eastAsia="it-IT"/>
              </w:rPr>
            </w:pPr>
            <w:r w:rsidRPr="00B12323">
              <w:rPr>
                <w:rFonts w:ascii="Times New Roman" w:eastAsia="Times New Roman" w:hAnsi="Times New Roman" w:cs="Times New Roman"/>
                <w:b/>
                <w:bCs/>
                <w:color w:val="000000"/>
                <w:sz w:val="29"/>
                <w:szCs w:val="29"/>
                <w:lang w:eastAsia="it-IT"/>
              </w:rPr>
              <w:t>«</w:t>
            </w:r>
            <w:r w:rsidRPr="00B12323">
              <w:rPr>
                <w:rFonts w:ascii="Times New Roman" w:eastAsia="Times New Roman" w:hAnsi="Times New Roman" w:cs="Times New Roman"/>
                <w:color w:val="000000"/>
                <w:sz w:val="23"/>
                <w:szCs w:val="23"/>
                <w:lang w:eastAsia="it-IT"/>
              </w:rPr>
              <w:t> Il tasso di inflazione acquisito rappresenta la variazione media dell’indice nell’anno indicato, che si avrebbe ipotizzando che l’indice stesso rimanga al medesimo livello dell’ultimo dato mensile disponibile nella restante parte dell’anno. </w:t>
            </w:r>
            <w:r w:rsidRPr="00B12323">
              <w:rPr>
                <w:rFonts w:ascii="Times New Roman" w:eastAsia="Times New Roman" w:hAnsi="Times New Roman" w:cs="Times New Roman"/>
                <w:b/>
                <w:bCs/>
                <w:color w:val="000000"/>
                <w:sz w:val="29"/>
                <w:szCs w:val="29"/>
                <w:lang w:eastAsia="it-IT"/>
              </w:rPr>
              <w:t>»</w:t>
            </w:r>
          </w:p>
        </w:tc>
      </w:tr>
      <w:tr w:rsidR="00B7534A" w:rsidRPr="00B12323" w:rsidTr="008C5745">
        <w:trPr>
          <w:tblCellSpacing w:w="15" w:type="dxa"/>
        </w:trPr>
        <w:tc>
          <w:tcPr>
            <w:tcW w:w="0" w:type="auto"/>
            <w:shd w:val="clear" w:color="auto" w:fill="auto"/>
            <w:tcMar>
              <w:top w:w="0" w:type="dxa"/>
              <w:left w:w="288" w:type="dxa"/>
              <w:bottom w:w="0" w:type="dxa"/>
              <w:right w:w="288" w:type="dxa"/>
            </w:tcMar>
            <w:vAlign w:val="center"/>
            <w:hideMark/>
          </w:tcPr>
          <w:p w:rsidR="00B7534A" w:rsidRPr="00B12323" w:rsidRDefault="00B7534A" w:rsidP="008C5745">
            <w:pPr>
              <w:spacing w:after="120" w:line="240" w:lineRule="auto"/>
              <w:jc w:val="both"/>
              <w:rPr>
                <w:rFonts w:ascii="Times New Roman" w:eastAsia="Times New Roman" w:hAnsi="Times New Roman" w:cs="Times New Roman"/>
                <w:color w:val="000000"/>
                <w:sz w:val="23"/>
                <w:szCs w:val="23"/>
                <w:lang w:eastAsia="it-IT"/>
              </w:rPr>
            </w:pPr>
          </w:p>
        </w:tc>
        <w:tc>
          <w:tcPr>
            <w:tcW w:w="0" w:type="auto"/>
            <w:shd w:val="clear" w:color="auto" w:fill="auto"/>
            <w:tcMar>
              <w:top w:w="0" w:type="dxa"/>
              <w:left w:w="0" w:type="dxa"/>
              <w:bottom w:w="0" w:type="dxa"/>
              <w:right w:w="288" w:type="dxa"/>
            </w:tcMar>
            <w:vAlign w:val="center"/>
            <w:hideMark/>
          </w:tcPr>
          <w:p w:rsidR="00B7534A" w:rsidRPr="00B12323" w:rsidRDefault="00B7534A" w:rsidP="008C5745">
            <w:pPr>
              <w:spacing w:after="120" w:line="240" w:lineRule="auto"/>
              <w:jc w:val="both"/>
              <w:rPr>
                <w:rFonts w:ascii="Times New Roman" w:eastAsia="Times New Roman" w:hAnsi="Times New Roman" w:cs="Times New Roman"/>
                <w:color w:val="000000"/>
                <w:sz w:val="23"/>
                <w:szCs w:val="23"/>
                <w:lang w:eastAsia="it-IT"/>
              </w:rPr>
            </w:pPr>
          </w:p>
        </w:tc>
      </w:tr>
    </w:tbl>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In altri termini, supponendo che la media degli indici mensili dell'anno </w:t>
      </w:r>
      <w:r w:rsidRPr="00B12323">
        <w:rPr>
          <w:rFonts w:ascii="Times New Roman" w:eastAsia="Times New Roman" w:hAnsi="Times New Roman" w:cs="Times New Roman"/>
          <w:i/>
          <w:iCs/>
          <w:sz w:val="24"/>
          <w:szCs w:val="24"/>
          <w:lang w:eastAsia="it-IT"/>
        </w:rPr>
        <w:t>a</w:t>
      </w:r>
      <w:r w:rsidRPr="00B12323">
        <w:rPr>
          <w:rFonts w:ascii="Times New Roman" w:eastAsia="Times New Roman" w:hAnsi="Times New Roman" w:cs="Times New Roman"/>
          <w:sz w:val="24"/>
          <w:szCs w:val="24"/>
          <w:lang w:eastAsia="it-IT"/>
        </w:rPr>
        <w:t xml:space="preserve"> − 1 sia pari a 1,02, che l'indice rilevato a dicembre dello stesso anno sia 1,03 e che non si rilevi alcun aumento dei prezzi nell'anno </w:t>
      </w:r>
      <w:r w:rsidRPr="00B12323">
        <w:rPr>
          <w:rFonts w:ascii="Times New Roman" w:eastAsia="Times New Roman" w:hAnsi="Times New Roman" w:cs="Times New Roman"/>
          <w:i/>
          <w:iCs/>
          <w:sz w:val="24"/>
          <w:szCs w:val="24"/>
          <w:lang w:eastAsia="it-IT"/>
        </w:rPr>
        <w:t>a</w:t>
      </w:r>
      <w:r w:rsidRPr="00B12323">
        <w:rPr>
          <w:rFonts w:ascii="Times New Roman" w:eastAsia="Times New Roman" w:hAnsi="Times New Roman" w:cs="Times New Roman"/>
          <w:sz w:val="24"/>
          <w:szCs w:val="24"/>
          <w:lang w:eastAsia="it-IT"/>
        </w:rPr>
        <w:t xml:space="preserve"> rispetto al dicembre precedente, il livello dei prezzi nell'anno </w:t>
      </w:r>
      <w:r w:rsidRPr="00B12323">
        <w:rPr>
          <w:rFonts w:ascii="Times New Roman" w:eastAsia="Times New Roman" w:hAnsi="Times New Roman" w:cs="Times New Roman"/>
          <w:i/>
          <w:iCs/>
          <w:sz w:val="24"/>
          <w:szCs w:val="24"/>
          <w:lang w:eastAsia="it-IT"/>
        </w:rPr>
        <w:t>a</w:t>
      </w:r>
      <w:r w:rsidRPr="00B12323">
        <w:rPr>
          <w:rFonts w:ascii="Times New Roman" w:eastAsia="Times New Roman" w:hAnsi="Times New Roman" w:cs="Times New Roman"/>
          <w:sz w:val="24"/>
          <w:szCs w:val="24"/>
          <w:lang w:eastAsia="it-IT"/>
        </w:rPr>
        <w:t xml:space="preserve"> sarebbe comunque superiore di 0,01 alla media degli indici mensili dell'anno precedente. Se quindi gli indici mensili dell'anno </w:t>
      </w:r>
      <w:r w:rsidRPr="00B12323">
        <w:rPr>
          <w:rFonts w:ascii="Times New Roman" w:eastAsia="Times New Roman" w:hAnsi="Times New Roman" w:cs="Times New Roman"/>
          <w:i/>
          <w:iCs/>
          <w:sz w:val="24"/>
          <w:szCs w:val="24"/>
          <w:lang w:eastAsia="it-IT"/>
        </w:rPr>
        <w:t>a</w:t>
      </w:r>
      <w:r w:rsidRPr="00B12323">
        <w:rPr>
          <w:rFonts w:ascii="Times New Roman" w:eastAsia="Times New Roman" w:hAnsi="Times New Roman" w:cs="Times New Roman"/>
          <w:sz w:val="24"/>
          <w:szCs w:val="24"/>
          <w:lang w:eastAsia="it-IT"/>
        </w:rPr>
        <w:t xml:space="preserve"> restassero tutti al livello di dicembre dell'anno precedente, con tassi congiunturali tutti nulli, si avrebbe comunque un tasso annuo di inflazione non nullo, pari a:</w:t>
      </w:r>
    </w:p>
    <w:p w:rsidR="00B7534A" w:rsidRPr="00B12323" w:rsidRDefault="00B7534A" w:rsidP="00B7534A">
      <w:pPr>
        <w:spacing w:after="0"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noProof/>
          <w:sz w:val="24"/>
          <w:szCs w:val="24"/>
          <w:lang w:eastAsia="it-IT"/>
        </w:rPr>
        <w:drawing>
          <wp:inline distT="0" distB="0" distL="0" distR="0">
            <wp:extent cx="6486525" cy="495300"/>
            <wp:effectExtent l="19050" t="0" r="9525" b="0"/>
            <wp:docPr id="12" name="Immagine 47" descr="\left(\frac{\frac{1{,}03 + 1{,}03 + 1{,}03 + 1,03 + 1{,}03 + 1{,}03 + 1,03 + 1,03 + 1{,}03 + 1{,}03 + 1{,}03 + 1{,}03}{12}}{1{,}02} - 1 \right)\cdot 100 = \left(\frac{1{,}03}{1{,}02} - 1 \right)\cdot 100 = 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left(\frac{\frac{1{,}03 + 1{,}03 + 1{,}03 + 1,03 + 1{,}03 + 1{,}03 + 1,03 + 1,03 + 1{,}03 + 1{,}03 + 1{,}03 + 1{,}03}{12}}{1{,}02} - 1 \right)\cdot 100 = \left(\frac{1{,}03}{1{,}02} - 1 \right)\cdot 100 = 0{,}98%"/>
                    <pic:cNvPicPr>
                      <a:picLocks noChangeAspect="1" noChangeArrowheads="1"/>
                    </pic:cNvPicPr>
                  </pic:nvPicPr>
                  <pic:blipFill>
                    <a:blip r:embed="rId37"/>
                    <a:srcRect/>
                    <a:stretch>
                      <a:fillRect/>
                    </a:stretch>
                  </pic:blipFill>
                  <pic:spPr bwMode="auto">
                    <a:xfrm>
                      <a:off x="0" y="0"/>
                      <a:ext cx="6486525" cy="495300"/>
                    </a:xfrm>
                    <a:prstGeom prst="rect">
                      <a:avLst/>
                    </a:prstGeom>
                    <a:noFill/>
                    <a:ln w="9525">
                      <a:noFill/>
                      <a:miter lim="800000"/>
                      <a:headEnd/>
                      <a:tailEnd/>
                    </a:ln>
                  </pic:spPr>
                </pic:pic>
              </a:graphicData>
            </a:graphic>
          </wp:inline>
        </w:drawing>
      </w: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Questo 0,98%, che non è altro che la variazione dell'indice di dicembre dell'anno precedente rispetto alla media di quell'anno, costituisce l'inflazione </w:t>
      </w:r>
      <w:r w:rsidRPr="00B12323">
        <w:rPr>
          <w:rFonts w:ascii="Times New Roman" w:eastAsia="Times New Roman" w:hAnsi="Times New Roman" w:cs="Times New Roman"/>
          <w:i/>
          <w:iCs/>
          <w:sz w:val="24"/>
          <w:szCs w:val="24"/>
          <w:lang w:eastAsia="it-IT"/>
        </w:rPr>
        <w:t>acquisita</w:t>
      </w:r>
      <w:r w:rsidRPr="00B12323">
        <w:rPr>
          <w:rFonts w:ascii="Times New Roman" w:eastAsia="Times New Roman" w:hAnsi="Times New Roman" w:cs="Times New Roman"/>
          <w:sz w:val="24"/>
          <w:szCs w:val="24"/>
          <w:lang w:eastAsia="it-IT"/>
        </w:rPr>
        <w:t xml:space="preserve"> che ciascun anno eredita dal precedente.</w:t>
      </w: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Ad esempio, il tasso di inflazione del 2007 in Italia è stato pari all'1,8%, di cui 0,5% ereditato dal 2006 (differenza tra dicembre 2006 e media del 2006) e 1,3% dovuto alla dinamica dei prezzi verificatasi nel 2007.</w:t>
      </w:r>
      <w:hyperlink r:id="rId38" w:anchor="cite_note-5" w:tooltip="^ Cfr. ISTAT, La dinamica dei prezzi al consumo. Dicembre 2007, 15/1/2008, pag. 10. " w:history="1">
        <w:r w:rsidRPr="00B12323">
          <w:rPr>
            <w:rFonts w:ascii="Times New Roman" w:eastAsia="Times New Roman" w:hAnsi="Times New Roman" w:cs="Times New Roman"/>
            <w:color w:val="0000FF"/>
            <w:sz w:val="24"/>
            <w:szCs w:val="24"/>
            <w:u w:val="single"/>
            <w:vertAlign w:val="superscript"/>
            <w:lang w:eastAsia="it-IT"/>
          </w:rPr>
          <w:t>[6]</w:t>
        </w:r>
      </w:hyperlink>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 xml:space="preserve">Tutti i tassi citati vengono disaggregati dall'ISTAT in vario modo, calcolando tassi per singole categorie di beni e servizi (alimentari, comunicazioni, ecc.), per beni e servizi di diversa frequenza d'acquisto (alta, media, bassa), ecc. In particolare, si calcola una </w:t>
      </w:r>
      <w:r w:rsidRPr="00B12323">
        <w:rPr>
          <w:rFonts w:ascii="Times New Roman" w:eastAsia="Times New Roman" w:hAnsi="Times New Roman" w:cs="Times New Roman"/>
          <w:i/>
          <w:iCs/>
          <w:sz w:val="24"/>
          <w:szCs w:val="24"/>
          <w:lang w:eastAsia="it-IT"/>
        </w:rPr>
        <w:t>inflazione di fondo</w:t>
      </w:r>
      <w:r w:rsidRPr="00B12323">
        <w:rPr>
          <w:rFonts w:ascii="Times New Roman" w:eastAsia="Times New Roman" w:hAnsi="Times New Roman" w:cs="Times New Roman"/>
          <w:sz w:val="24"/>
          <w:szCs w:val="24"/>
          <w:lang w:eastAsia="it-IT"/>
        </w:rPr>
        <w:t xml:space="preserve"> escludendo i prezzi ritenuti più volatili, quelli dei beni energetici e gli alimentari non lavorati.</w:t>
      </w:r>
    </w:p>
    <w:p w:rsidR="00B7534A" w:rsidRPr="00B12323" w:rsidRDefault="00B7534A" w:rsidP="00B7534A">
      <w:pPr>
        <w:spacing w:before="100" w:beforeAutospacing="1" w:after="100" w:afterAutospacing="1" w:line="240" w:lineRule="auto"/>
        <w:jc w:val="both"/>
        <w:rPr>
          <w:rFonts w:ascii="Times New Roman" w:eastAsia="Times New Roman" w:hAnsi="Times New Roman" w:cs="Times New Roman"/>
          <w:sz w:val="24"/>
          <w:szCs w:val="24"/>
          <w:lang w:eastAsia="it-IT"/>
        </w:rPr>
      </w:pPr>
      <w:r w:rsidRPr="00B12323">
        <w:rPr>
          <w:rFonts w:ascii="Times New Roman" w:eastAsia="Times New Roman" w:hAnsi="Times New Roman" w:cs="Times New Roman"/>
          <w:sz w:val="24"/>
          <w:szCs w:val="24"/>
          <w:lang w:eastAsia="it-IT"/>
        </w:rPr>
        <w:t>L'ISTAT offre, peraltro, anche coefficienti per il calcolo del valore della moneta (quindi degli effetti dell'inflazione in generale) a partire dal 1861. Ad esempio, per calcolare che valore avrebbero oggi 100 lire del 1937, si applica il coefficiente 1.646,8831 e si divide il risultato per 1 936,27, ottenendo 85,05 euro.</w:t>
      </w:r>
      <w:hyperlink r:id="rId39" w:anchor="cite_note-6" w:tooltip="^ ISTAT, Il valore della moneta in Italia dal 1861 al 2006. " w:history="1">
        <w:r w:rsidRPr="00B12323">
          <w:rPr>
            <w:rFonts w:ascii="Times New Roman" w:eastAsia="Times New Roman" w:hAnsi="Times New Roman" w:cs="Times New Roman"/>
            <w:color w:val="0000FF"/>
            <w:sz w:val="24"/>
            <w:szCs w:val="24"/>
            <w:u w:val="single"/>
            <w:vertAlign w:val="superscript"/>
            <w:lang w:eastAsia="it-IT"/>
          </w:rPr>
          <w:t>[7]</w:t>
        </w:r>
      </w:hyperlink>
    </w:p>
    <w:p w:rsidR="00B7534A" w:rsidRPr="00B12323"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Pr="00B12323" w:rsidRDefault="00B7534A" w:rsidP="00B7534A">
      <w:pPr>
        <w:pStyle w:val="Titolo1"/>
        <w:jc w:val="both"/>
      </w:pPr>
      <w:r w:rsidRPr="00B12323">
        <w:lastRenderedPageBreak/>
        <w:t xml:space="preserve">Deflazione </w:t>
      </w:r>
    </w:p>
    <w:p w:rsidR="00B7534A" w:rsidRDefault="00B7534A" w:rsidP="00B7534A">
      <w:pPr>
        <w:pStyle w:val="NormaleWeb"/>
        <w:jc w:val="both"/>
      </w:pPr>
      <w:r w:rsidRPr="00B12323">
        <w:t xml:space="preserve">La </w:t>
      </w:r>
      <w:r w:rsidRPr="00B12323">
        <w:rPr>
          <w:b/>
          <w:bCs/>
        </w:rPr>
        <w:t>deflazione</w:t>
      </w:r>
      <w:r w:rsidRPr="00B12323">
        <w:t xml:space="preserve"> è, in </w:t>
      </w:r>
      <w:hyperlink r:id="rId40" w:tooltip="Macroeconomia" w:history="1">
        <w:r w:rsidRPr="00B12323">
          <w:rPr>
            <w:rStyle w:val="Collegamentoipertestuale"/>
          </w:rPr>
          <w:t>macroeconomia</w:t>
        </w:r>
      </w:hyperlink>
      <w:r w:rsidRPr="00B12323">
        <w:t xml:space="preserve">, una diminuzione del livello generale dei prezzi, l'opposto dell'aumento generale dei prezzi che si definisce </w:t>
      </w:r>
      <w:hyperlink r:id="rId41" w:tooltip="Inflazione" w:history="1">
        <w:r w:rsidRPr="00B12323">
          <w:rPr>
            <w:rStyle w:val="Collegamentoipertestuale"/>
          </w:rPr>
          <w:t>inflazione</w:t>
        </w:r>
      </w:hyperlink>
      <w:r w:rsidRPr="00B12323">
        <w:t>.</w:t>
      </w:r>
    </w:p>
    <w:p w:rsidR="00B7534A" w:rsidRPr="00B12323" w:rsidRDefault="00B7534A" w:rsidP="00B7534A">
      <w:pPr>
        <w:pStyle w:val="NormaleWeb"/>
        <w:jc w:val="both"/>
      </w:pPr>
      <w:r w:rsidRPr="00B12323">
        <w:t xml:space="preserve"> La deflazione non dovrebbe essere confusa con la </w:t>
      </w:r>
      <w:hyperlink r:id="rId42" w:tooltip="Disinflazione (pagina inesistente)" w:history="1">
        <w:r w:rsidRPr="00B12323">
          <w:rPr>
            <w:rStyle w:val="Collegamentoipertestuale"/>
            <w:color w:val="CC2200"/>
          </w:rPr>
          <w:t>disinflazione</w:t>
        </w:r>
      </w:hyperlink>
      <w:r w:rsidRPr="00B12323">
        <w:t>, che descrive semplicemente un rallentamento del tasso di inflazione.</w:t>
      </w:r>
    </w:p>
    <w:p w:rsidR="00B7534A" w:rsidRPr="00B12323" w:rsidRDefault="00B7534A" w:rsidP="00B7534A">
      <w:pPr>
        <w:pStyle w:val="NormaleWeb"/>
        <w:jc w:val="both"/>
      </w:pPr>
      <w:r w:rsidRPr="00B12323">
        <w:t>La deflazione deriva dalla debolezza della domanda di beni e servizi, cioè un freno nella spesa di consumatori e aziende, i quali poi attendono ulteriori cali dei prezzi, creando una spirale negativa. Le imprese, non riuscendo a vendere a determinati prezzi parte dei beni e servizi, cercano di collocarli a prezzi inferiori.</w:t>
      </w:r>
    </w:p>
    <w:p w:rsidR="00B7534A" w:rsidRPr="00B12323" w:rsidRDefault="00B7534A" w:rsidP="00B7534A">
      <w:pPr>
        <w:pStyle w:val="NormaleWeb"/>
        <w:jc w:val="both"/>
      </w:pPr>
      <w:r w:rsidRPr="00B12323">
        <w:t>La riduzione dei prezzi si ripercuote per le imprese sui ricavi, anch'essi generalmente in calo. Ne deriva il tentativo da parte delle imprese di ridurre i costi, attraverso la diminuzione dei costi per l'acquisto di beni e servizi da altre imprese, del costo del lavoro e tramite un minor ricorso al credito.</w:t>
      </w:r>
    </w:p>
    <w:p w:rsidR="00B7534A" w:rsidRPr="00B12323" w:rsidRDefault="00B7534A" w:rsidP="00B7534A">
      <w:pPr>
        <w:pStyle w:val="NormaleWeb"/>
        <w:jc w:val="both"/>
      </w:pPr>
      <w:r w:rsidRPr="00B12323">
        <w:t xml:space="preserve">Casi di forte deflazione possono indurre il fenomeno della </w:t>
      </w:r>
      <w:hyperlink r:id="rId43" w:tooltip="Tesaurizzazione" w:history="1">
        <w:r w:rsidRPr="00B12323">
          <w:rPr>
            <w:rStyle w:val="Collegamentoipertestuale"/>
          </w:rPr>
          <w:t>tesaurizzazione</w:t>
        </w:r>
      </w:hyperlink>
      <w:r w:rsidRPr="00B12323">
        <w:t xml:space="preserve">, intesa come incetta dell'unità monetaria della quale si prevede un ulteriore aumento del </w:t>
      </w:r>
      <w:hyperlink r:id="rId44" w:tooltip="Potere d'acquisto" w:history="1">
        <w:r w:rsidRPr="00B12323">
          <w:rPr>
            <w:rStyle w:val="Collegamentoipertestuale"/>
          </w:rPr>
          <w:t>potere d'acquisto</w:t>
        </w:r>
      </w:hyperlink>
      <w:r w:rsidRPr="00B12323">
        <w:t>. Gli effetti negativi della deflazione tendono quindi a diffondersi nell'economia, provocando una situazione di depressione economica. Lede quelle fasce di lavoratori che si vedono ridotto il reddito a seguito della riduzione dei salari.</w:t>
      </w:r>
    </w:p>
    <w:p w:rsidR="00B7534A" w:rsidRPr="00B12323" w:rsidRDefault="00B7534A" w:rsidP="00B7534A">
      <w:pPr>
        <w:pStyle w:val="NormaleWeb"/>
        <w:jc w:val="both"/>
      </w:pPr>
      <w:r w:rsidRPr="00B12323">
        <w:t>Tra le principali cause di deflazione vi è la scarsità di moneta.</w:t>
      </w:r>
    </w:p>
    <w:p w:rsidR="00B7534A" w:rsidRPr="00B12323" w:rsidRDefault="00B7534A" w:rsidP="00B7534A">
      <w:pPr>
        <w:pStyle w:val="NormaleWeb"/>
        <w:jc w:val="both"/>
      </w:pPr>
      <w:r w:rsidRPr="00B12323">
        <w:t xml:space="preserve">Una situazione di deflazione si </w:t>
      </w:r>
      <w:proofErr w:type="spellStart"/>
      <w:r w:rsidRPr="00B12323">
        <w:t>verifcò</w:t>
      </w:r>
      <w:proofErr w:type="spellEnd"/>
      <w:r w:rsidRPr="00B12323">
        <w:t xml:space="preserve"> in </w:t>
      </w:r>
      <w:hyperlink r:id="rId45" w:tooltip="Giappone" w:history="1">
        <w:r w:rsidRPr="00B12323">
          <w:rPr>
            <w:rStyle w:val="Collegamentoipertestuale"/>
          </w:rPr>
          <w:t>Giappone</w:t>
        </w:r>
      </w:hyperlink>
      <w:r w:rsidRPr="00B12323">
        <w:t xml:space="preserve"> fra il 2000 e 2006, con la Banca Centrale costretta a fissare un tasso d'interesse allo 0%, per favorire la </w:t>
      </w:r>
      <w:hyperlink r:id="rId46" w:tooltip="Liquidità" w:history="1">
        <w:r w:rsidRPr="00B12323">
          <w:rPr>
            <w:rStyle w:val="Collegamentoipertestuale"/>
          </w:rPr>
          <w:t>liquidità</w:t>
        </w:r>
      </w:hyperlink>
      <w:r w:rsidRPr="00B12323">
        <w:t xml:space="preserve"> circolante.</w:t>
      </w:r>
    </w:p>
    <w:p w:rsidR="00B7534A" w:rsidRPr="00B12323" w:rsidRDefault="00B7534A" w:rsidP="00B7534A">
      <w:pPr>
        <w:pStyle w:val="NormaleWeb"/>
        <w:jc w:val="both"/>
      </w:pPr>
      <w:r w:rsidRPr="00B12323">
        <w:t xml:space="preserve">Nel mese di luglio 2009 la </w:t>
      </w:r>
      <w:hyperlink r:id="rId47" w:tooltip="Germania" w:history="1">
        <w:r w:rsidRPr="00B12323">
          <w:rPr>
            <w:rStyle w:val="Collegamentoipertestuale"/>
          </w:rPr>
          <w:t>Germania</w:t>
        </w:r>
      </w:hyperlink>
      <w:r w:rsidRPr="00B12323">
        <w:t xml:space="preserve"> è entrata in deflazione con una contrazione dei prezzi al consumo, secondo una prima stima dell'</w:t>
      </w:r>
      <w:hyperlink r:id="rId48" w:tooltip="Ufficio Statistico Federale (pagina inesistente)" w:history="1">
        <w:r w:rsidRPr="00B12323">
          <w:rPr>
            <w:rStyle w:val="Collegamentoipertestuale"/>
            <w:color w:val="CC2200"/>
          </w:rPr>
          <w:t>Ufficio Statistico Federale</w:t>
        </w:r>
      </w:hyperlink>
      <w:r w:rsidRPr="00B12323">
        <w:t>, del -0,6% su base annua: non succedeva dal 1987. È recente (il dato è riferito a Maggio 2009) anche la diminuzione del livello generale dei prezzi in USA dove nel periodo maggio 2008- maggio 2009 l'inflazione ha fatto registrare un valore uguale a -1,3%.</w:t>
      </w:r>
    </w:p>
    <w:p w:rsidR="00B7534A" w:rsidRPr="00B12323" w:rsidRDefault="00B7534A" w:rsidP="00B7534A">
      <w:pPr>
        <w:pStyle w:val="NormaleWeb"/>
        <w:jc w:val="both"/>
      </w:pPr>
      <w:r w:rsidRPr="00B12323">
        <w:t xml:space="preserve">La deflazione è una patologia negativa in economia perché associata a un periodo di </w:t>
      </w:r>
      <w:hyperlink r:id="rId49" w:tooltip="Stagnazione" w:history="1">
        <w:r w:rsidRPr="00B12323">
          <w:rPr>
            <w:rStyle w:val="Collegamentoipertestuale"/>
          </w:rPr>
          <w:t>stagnazione</w:t>
        </w:r>
      </w:hyperlink>
      <w:r w:rsidRPr="00B12323">
        <w:t xml:space="preserve"> e </w:t>
      </w:r>
      <w:hyperlink r:id="rId50" w:tooltip="Recessione" w:history="1">
        <w:r w:rsidRPr="00B12323">
          <w:rPr>
            <w:rStyle w:val="Collegamentoipertestuale"/>
          </w:rPr>
          <w:t>recessione</w:t>
        </w:r>
      </w:hyperlink>
      <w:r w:rsidRPr="00B12323">
        <w:t xml:space="preserve"> economica.</w:t>
      </w:r>
    </w:p>
    <w:p w:rsidR="00B7534A" w:rsidRPr="00B12323"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Default="00B7534A" w:rsidP="00B7534A">
      <w:pPr>
        <w:jc w:val="both"/>
        <w:rPr>
          <w:rFonts w:ascii="Times New Roman" w:hAnsi="Times New Roman" w:cs="Times New Roman"/>
        </w:rPr>
      </w:pPr>
    </w:p>
    <w:p w:rsidR="00B7534A" w:rsidRDefault="00B7534A" w:rsidP="00B7534A">
      <w:pPr>
        <w:jc w:val="both"/>
        <w:rPr>
          <w:rFonts w:ascii="Times New Roman" w:hAnsi="Times New Roman" w:cs="Times New Roman"/>
        </w:rPr>
      </w:pPr>
    </w:p>
    <w:p w:rsidR="00B7534A"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Pr="00B12323" w:rsidRDefault="00B7534A" w:rsidP="00B7534A">
      <w:pPr>
        <w:pStyle w:val="Titolo1"/>
        <w:jc w:val="both"/>
      </w:pPr>
      <w:r w:rsidRPr="00B12323">
        <w:lastRenderedPageBreak/>
        <w:t>Stagflazione</w:t>
      </w:r>
    </w:p>
    <w:p w:rsidR="00B7534A"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vanish/>
          <w:sz w:val="24"/>
          <w:szCs w:val="24"/>
        </w:rPr>
      </w:pPr>
      <w:r w:rsidRPr="00B12323">
        <w:rPr>
          <w:rFonts w:ascii="Times New Roman" w:hAnsi="Times New Roman" w:cs="Times New Roman"/>
          <w:vanish/>
        </w:rPr>
        <w:t xml:space="preserve">Vai a: </w:t>
      </w:r>
      <w:hyperlink r:id="rId51" w:anchor="column-one" w:history="1">
        <w:r w:rsidRPr="00B12323">
          <w:rPr>
            <w:rStyle w:val="Collegamentoipertestuale"/>
            <w:rFonts w:ascii="Times New Roman" w:hAnsi="Times New Roman" w:cs="Times New Roman"/>
            <w:vanish/>
          </w:rPr>
          <w:t>Navigazione</w:t>
        </w:r>
      </w:hyperlink>
      <w:r w:rsidRPr="00B12323">
        <w:rPr>
          <w:rFonts w:ascii="Times New Roman" w:hAnsi="Times New Roman" w:cs="Times New Roman"/>
          <w:vanish/>
        </w:rPr>
        <w:t xml:space="preserve">, </w:t>
      </w:r>
      <w:hyperlink r:id="rId52" w:anchor="searchInput" w:history="1">
        <w:r w:rsidRPr="00B12323">
          <w:rPr>
            <w:rStyle w:val="Collegamentoipertestuale"/>
            <w:rFonts w:ascii="Times New Roman" w:hAnsi="Times New Roman" w:cs="Times New Roman"/>
            <w:vanish/>
          </w:rPr>
          <w:t>cerca</w:t>
        </w:r>
      </w:hyperlink>
    </w:p>
    <w:p w:rsidR="00B7534A" w:rsidRPr="00B12323" w:rsidRDefault="00B7534A" w:rsidP="00B7534A">
      <w:pPr>
        <w:pStyle w:val="NormaleWeb"/>
        <w:jc w:val="both"/>
      </w:pPr>
      <w:r w:rsidRPr="00B12323">
        <w:t xml:space="preserve">In </w:t>
      </w:r>
      <w:hyperlink r:id="rId53" w:tooltip="Economia" w:history="1">
        <w:r w:rsidRPr="00B12323">
          <w:rPr>
            <w:rStyle w:val="Collegamentoipertestuale"/>
          </w:rPr>
          <w:t>economia</w:t>
        </w:r>
      </w:hyperlink>
      <w:r w:rsidRPr="00B12323">
        <w:t xml:space="preserve">, per </w:t>
      </w:r>
      <w:r w:rsidRPr="00B12323">
        <w:rPr>
          <w:b/>
          <w:bCs/>
        </w:rPr>
        <w:t>stagflazione</w:t>
      </w:r>
      <w:r w:rsidRPr="00B12323">
        <w:t xml:space="preserve"> (combinazione dei termini stagnazione ed inflazione) si intende indicare la situazione nella quale sono contemporaneamente presenti - su un determinato </w:t>
      </w:r>
      <w:hyperlink r:id="rId54" w:tooltip="Mercato" w:history="1">
        <w:r w:rsidRPr="00B12323">
          <w:rPr>
            <w:rStyle w:val="Collegamentoipertestuale"/>
          </w:rPr>
          <w:t>mercato</w:t>
        </w:r>
      </w:hyperlink>
      <w:r w:rsidRPr="00B12323">
        <w:t xml:space="preserve"> - sia un aumento generale dei prezzi (</w:t>
      </w:r>
      <w:hyperlink r:id="rId55" w:tooltip="Inflazione" w:history="1">
        <w:r w:rsidRPr="00B12323">
          <w:rPr>
            <w:rStyle w:val="Collegamentoipertestuale"/>
          </w:rPr>
          <w:t>inflazione</w:t>
        </w:r>
      </w:hyperlink>
      <w:r w:rsidRPr="00B12323">
        <w:t>) che una mancanza di crescita dell'economia in termini reali (</w:t>
      </w:r>
      <w:hyperlink r:id="rId56" w:tooltip="Stagnazione" w:history="1">
        <w:r w:rsidRPr="00B12323">
          <w:rPr>
            <w:rStyle w:val="Collegamentoipertestuale"/>
          </w:rPr>
          <w:t>stagnazione</w:t>
        </w:r>
      </w:hyperlink>
      <w:r w:rsidRPr="00B12323">
        <w:t xml:space="preserve"> economica).</w:t>
      </w:r>
    </w:p>
    <w:p w:rsidR="00B7534A" w:rsidRPr="00B12323" w:rsidRDefault="00B7534A" w:rsidP="00B7534A">
      <w:pPr>
        <w:pStyle w:val="NormaleWeb"/>
        <w:jc w:val="both"/>
      </w:pPr>
      <w:r w:rsidRPr="00B12323">
        <w:t xml:space="preserve">La stagflazione è un fenomeno presentatosi per la prima volta alla fine degli </w:t>
      </w:r>
      <w:hyperlink r:id="rId57" w:tooltip="Anni 1960" w:history="1">
        <w:r w:rsidRPr="00B12323">
          <w:rPr>
            <w:rStyle w:val="Collegamentoipertestuale"/>
          </w:rPr>
          <w:t>anni sessanta</w:t>
        </w:r>
      </w:hyperlink>
      <w:r w:rsidRPr="00B12323">
        <w:t xml:space="preserve">, prevalentemente nei paesi occidentali; precedentemente inflazione e stagnazione si erano invece sempre presentate disgiuntamente. La contemporanea presenza di questi due elementi mise in crisi la </w:t>
      </w:r>
      <w:hyperlink r:id="rId58" w:tooltip="Teoria generale dell'occupazione, dell'interesse e della moneta" w:history="1">
        <w:r w:rsidRPr="00B12323">
          <w:rPr>
            <w:rStyle w:val="Collegamentoipertestuale"/>
          </w:rPr>
          <w:t>teoria</w:t>
        </w:r>
      </w:hyperlink>
      <w:r w:rsidRPr="00B12323">
        <w:t xml:space="preserve"> di </w:t>
      </w:r>
      <w:hyperlink r:id="rId59" w:tooltip="John Maynard Keynes" w:history="1">
        <w:r w:rsidRPr="00B12323">
          <w:rPr>
            <w:rStyle w:val="Collegamentoipertestuale"/>
          </w:rPr>
          <w:t xml:space="preserve">John </w:t>
        </w:r>
        <w:proofErr w:type="spellStart"/>
        <w:r w:rsidRPr="00B12323">
          <w:rPr>
            <w:rStyle w:val="Collegamentoipertestuale"/>
          </w:rPr>
          <w:t>Maynard</w:t>
        </w:r>
        <w:proofErr w:type="spellEnd"/>
        <w:r w:rsidRPr="00B12323">
          <w:rPr>
            <w:rStyle w:val="Collegamentoipertestuale"/>
          </w:rPr>
          <w:t xml:space="preserve"> </w:t>
        </w:r>
        <w:proofErr w:type="spellStart"/>
        <w:r w:rsidRPr="00B12323">
          <w:rPr>
            <w:rStyle w:val="Collegamentoipertestuale"/>
          </w:rPr>
          <w:t>Keynes</w:t>
        </w:r>
        <w:proofErr w:type="spellEnd"/>
      </w:hyperlink>
      <w:r w:rsidRPr="00B12323">
        <w:t xml:space="preserve"> (e le successive teorie </w:t>
      </w:r>
      <w:hyperlink r:id="rId60" w:tooltip="Teoria post-keynesiana (pagina inesistente)" w:history="1">
        <w:r w:rsidRPr="00B12323">
          <w:rPr>
            <w:rStyle w:val="Collegamentoipertestuale"/>
            <w:color w:val="CC2200"/>
          </w:rPr>
          <w:t>post-keynesiane</w:t>
        </w:r>
      </w:hyperlink>
      <w:r w:rsidRPr="00B12323">
        <w:t xml:space="preserve">) che, per oltre 30 anni, era stata la spiegazione più convincente per l’andamento dei </w:t>
      </w:r>
      <w:hyperlink r:id="rId61" w:tooltip="Sistema economico" w:history="1">
        <w:r w:rsidRPr="00B12323">
          <w:rPr>
            <w:rStyle w:val="Collegamentoipertestuale"/>
          </w:rPr>
          <w:t>sistemi economici</w:t>
        </w:r>
      </w:hyperlink>
      <w:r w:rsidRPr="00B12323">
        <w:t xml:space="preserve">, oltre che valido strumento di </w:t>
      </w:r>
      <w:hyperlink r:id="rId62" w:tooltip="Politica economica" w:history="1">
        <w:r w:rsidRPr="00B12323">
          <w:rPr>
            <w:rStyle w:val="Collegamentoipertestuale"/>
          </w:rPr>
          <w:t>politica economica</w:t>
        </w:r>
      </w:hyperlink>
      <w:r w:rsidRPr="00B12323">
        <w:t xml:space="preserve"> per i governi di paesi ad </w:t>
      </w:r>
      <w:hyperlink r:id="rId63" w:tooltip="Economia di mercato" w:history="1">
        <w:r w:rsidRPr="00B12323">
          <w:rPr>
            <w:rStyle w:val="Collegamentoipertestuale"/>
          </w:rPr>
          <w:t>economia di mercato</w:t>
        </w:r>
      </w:hyperlink>
      <w:r w:rsidRPr="00B12323">
        <w:t>.</w:t>
      </w:r>
    </w:p>
    <w:p w:rsidR="00B7534A" w:rsidRPr="00B12323" w:rsidRDefault="00B7534A" w:rsidP="00B7534A">
      <w:pPr>
        <w:pStyle w:val="NormaleWeb"/>
        <w:jc w:val="both"/>
      </w:pPr>
      <w:hyperlink r:id="rId64" w:tooltip="Milton Friedman" w:history="1">
        <w:r w:rsidRPr="00B12323">
          <w:rPr>
            <w:rStyle w:val="Collegamentoipertestuale"/>
          </w:rPr>
          <w:t>Milton Friedman</w:t>
        </w:r>
      </w:hyperlink>
      <w:r w:rsidRPr="00B12323">
        <w:t xml:space="preserve">, </w:t>
      </w:r>
      <w:hyperlink r:id="rId65" w:tooltip="Premio Nobel" w:history="1">
        <w:r w:rsidRPr="00B12323">
          <w:rPr>
            <w:rStyle w:val="Collegamentoipertestuale"/>
          </w:rPr>
          <w:t>Nobel</w:t>
        </w:r>
      </w:hyperlink>
      <w:r w:rsidRPr="00B12323">
        <w:t xml:space="preserve"> in Economia nel </w:t>
      </w:r>
      <w:hyperlink r:id="rId66" w:tooltip="1976" w:history="1">
        <w:r w:rsidRPr="00B12323">
          <w:rPr>
            <w:rStyle w:val="Collegamentoipertestuale"/>
          </w:rPr>
          <w:t>1976</w:t>
        </w:r>
      </w:hyperlink>
      <w:r w:rsidRPr="00B12323">
        <w:t xml:space="preserve">, era stato tra i pochi a discostarsi dalle visioni keynesiane e </w:t>
      </w:r>
      <w:proofErr w:type="spellStart"/>
      <w:r w:rsidRPr="00B12323">
        <w:t>roosveltiane</w:t>
      </w:r>
      <w:proofErr w:type="spellEnd"/>
      <w:r w:rsidRPr="00B12323">
        <w:t xml:space="preserve"> e a prevedere, nei suoi due libri </w:t>
      </w:r>
      <w:proofErr w:type="spellStart"/>
      <w:r w:rsidRPr="00B12323">
        <w:rPr>
          <w:i/>
          <w:iCs/>
        </w:rPr>
        <w:t>Capitalism</w:t>
      </w:r>
      <w:proofErr w:type="spellEnd"/>
      <w:r w:rsidRPr="00B12323">
        <w:rPr>
          <w:i/>
          <w:iCs/>
        </w:rPr>
        <w:t xml:space="preserve"> and </w:t>
      </w:r>
      <w:proofErr w:type="spellStart"/>
      <w:r w:rsidRPr="00B12323">
        <w:rPr>
          <w:i/>
          <w:iCs/>
        </w:rPr>
        <w:t>Freedom</w:t>
      </w:r>
      <w:proofErr w:type="spellEnd"/>
      <w:r w:rsidRPr="00B12323">
        <w:t xml:space="preserve"> e </w:t>
      </w:r>
      <w:r w:rsidRPr="00B12323">
        <w:rPr>
          <w:i/>
          <w:iCs/>
        </w:rPr>
        <w:t>Storia Monetaria degli Stati Uniti</w:t>
      </w:r>
      <w:r w:rsidRPr="00B12323">
        <w:t>, l'avvento della stagflazione.</w:t>
      </w:r>
    </w:p>
    <w:p w:rsidR="00B7534A" w:rsidRPr="00B12323" w:rsidRDefault="00B7534A" w:rsidP="00B7534A">
      <w:pPr>
        <w:pStyle w:val="NormaleWeb"/>
        <w:jc w:val="both"/>
      </w:pPr>
      <w:r w:rsidRPr="00B12323">
        <w:t xml:space="preserve">Nella visione keynesiana, la </w:t>
      </w:r>
      <w:hyperlink r:id="rId67" w:tooltip="Disoccupazione" w:history="1">
        <w:r w:rsidRPr="00B12323">
          <w:rPr>
            <w:rStyle w:val="Collegamentoipertestuale"/>
          </w:rPr>
          <w:t>disoccupazione</w:t>
        </w:r>
      </w:hyperlink>
      <w:r w:rsidRPr="00B12323">
        <w:t xml:space="preserve"> è causata da un livello non sufficiente della </w:t>
      </w:r>
      <w:hyperlink r:id="rId68" w:tooltip="Domanda aggregata" w:history="1">
        <w:r w:rsidRPr="00B12323">
          <w:rPr>
            <w:rStyle w:val="Collegamentoipertestuale"/>
          </w:rPr>
          <w:t>domanda aggregata</w:t>
        </w:r>
      </w:hyperlink>
      <w:r w:rsidRPr="00B12323">
        <w:t xml:space="preserve">, mentre l’inflazione è giustificata solo quando il mercato raggiunge il </w:t>
      </w:r>
      <w:hyperlink r:id="rId69" w:tooltip="Pieno impiego (pagina inesistente)" w:history="1">
        <w:r w:rsidRPr="00B12323">
          <w:rPr>
            <w:rStyle w:val="Collegamentoipertestuale"/>
            <w:color w:val="CC2200"/>
          </w:rPr>
          <w:t>pieno impiego</w:t>
        </w:r>
      </w:hyperlink>
      <w:r w:rsidRPr="00B12323">
        <w:t xml:space="preserve">: a quel punto l’eccesso della domanda aggregata rispetto all’offerta aggregata, non potendo riversarsi sulla quantità reale (già massima e non espandibile), si riversa sui </w:t>
      </w:r>
      <w:hyperlink r:id="rId70" w:tooltip="Prezzo" w:history="1">
        <w:r w:rsidRPr="00B12323">
          <w:rPr>
            <w:rStyle w:val="Collegamentoipertestuale"/>
          </w:rPr>
          <w:t>prezzi</w:t>
        </w:r>
      </w:hyperlink>
      <w:r w:rsidRPr="00B12323">
        <w:t xml:space="preserve">, incrementandoli e determinando un aumento del </w:t>
      </w:r>
      <w:hyperlink r:id="rId71" w:tooltip="Prodotto interno lordo" w:history="1">
        <w:r w:rsidRPr="00B12323">
          <w:rPr>
            <w:rStyle w:val="Collegamentoipertestuale"/>
          </w:rPr>
          <w:t>prodotto interno lordo</w:t>
        </w:r>
      </w:hyperlink>
      <w:r w:rsidRPr="00B12323">
        <w:t xml:space="preserve"> </w:t>
      </w:r>
      <w:hyperlink r:id="rId72" w:tooltip="Valore nominale" w:history="1">
        <w:r w:rsidRPr="00B12323">
          <w:rPr>
            <w:rStyle w:val="Collegamentoipertestuale"/>
          </w:rPr>
          <w:t>nominale</w:t>
        </w:r>
      </w:hyperlink>
      <w:r w:rsidRPr="00B12323">
        <w:t xml:space="preserve">, ovvero dei prezzi e non delle quantità. Nella teoria keynesiana una situazione di disoccupazione non è compatibile con prezzi in aumento, ma con prezzi in diminuzione, per effetto della </w:t>
      </w:r>
      <w:hyperlink r:id="rId73" w:tooltip="Recessione" w:history="1">
        <w:r w:rsidRPr="00B12323">
          <w:rPr>
            <w:rStyle w:val="Collegamentoipertestuale"/>
          </w:rPr>
          <w:t>recessione</w:t>
        </w:r>
      </w:hyperlink>
      <w:r w:rsidRPr="00B12323">
        <w:t>.</w:t>
      </w:r>
    </w:p>
    <w:p w:rsidR="00B7534A" w:rsidRPr="00B12323" w:rsidRDefault="00B7534A" w:rsidP="00B7534A">
      <w:pPr>
        <w:pStyle w:val="NormaleWeb"/>
        <w:jc w:val="both"/>
      </w:pPr>
      <w:r w:rsidRPr="00B12323">
        <w:t xml:space="preserve">La stagflazione fu così inizialmente contrastata, conformemente alla teoria keynesiana, con l’applicazione di politiche economiche </w:t>
      </w:r>
      <w:hyperlink r:id="rId74" w:tooltip="Efficienza" w:history="1">
        <w:r w:rsidRPr="00B12323">
          <w:rPr>
            <w:rStyle w:val="Collegamentoipertestuale"/>
          </w:rPr>
          <w:t>inefficienti</w:t>
        </w:r>
      </w:hyperlink>
      <w:r w:rsidRPr="00B12323">
        <w:t xml:space="preserve"> ed a volte persino destabilizzanti, improntate ad una forte espansione: gli effetti di queste scelte aggravarono, però, ulteriormente la tendenza, già presente nei sistemi economici, al rialzo dei prezzi dei </w:t>
      </w:r>
      <w:hyperlink r:id="rId75" w:tooltip="Bene" w:history="1">
        <w:r w:rsidRPr="00B12323">
          <w:rPr>
            <w:rStyle w:val="Collegamentoipertestuale"/>
          </w:rPr>
          <w:t>beni</w:t>
        </w:r>
      </w:hyperlink>
      <w:r w:rsidRPr="00B12323">
        <w:t xml:space="preserve"> per di più senza drastici cali della disoccupazione, come auspicato invece dai governi. Il fenomeno fu principalmente spiegato col prevalere di comportamenti di </w:t>
      </w:r>
      <w:hyperlink r:id="rId76" w:tooltip="Monopolio" w:history="1">
        <w:r w:rsidRPr="00B12323">
          <w:rPr>
            <w:rStyle w:val="Collegamentoipertestuale"/>
          </w:rPr>
          <w:t>monopolio</w:t>
        </w:r>
      </w:hyperlink>
      <w:r w:rsidRPr="00B12323">
        <w:t xml:space="preserve"> sia nel mercato del </w:t>
      </w:r>
      <w:hyperlink r:id="rId77" w:tooltip="Lavoro (economia)" w:history="1">
        <w:r w:rsidRPr="00B12323">
          <w:rPr>
            <w:rStyle w:val="Collegamentoipertestuale"/>
          </w:rPr>
          <w:t>lavoro</w:t>
        </w:r>
      </w:hyperlink>
      <w:r w:rsidRPr="00B12323">
        <w:t xml:space="preserve"> (per la rigidità dei </w:t>
      </w:r>
      <w:hyperlink r:id="rId78" w:tooltip="Salario" w:history="1">
        <w:r w:rsidRPr="00B12323">
          <w:rPr>
            <w:rStyle w:val="Collegamentoipertestuale"/>
          </w:rPr>
          <w:t>salari</w:t>
        </w:r>
      </w:hyperlink>
      <w:r w:rsidRPr="00B12323">
        <w:t xml:space="preserve">), che in quello dei prodotti per la presenza di </w:t>
      </w:r>
      <w:hyperlink r:id="rId79" w:tooltip="Cartello" w:history="1">
        <w:r w:rsidRPr="00B12323">
          <w:rPr>
            <w:rStyle w:val="Collegamentoipertestuale"/>
          </w:rPr>
          <w:t>cartelli</w:t>
        </w:r>
      </w:hyperlink>
      <w:r w:rsidRPr="00B12323">
        <w:t xml:space="preserve"> (in </w:t>
      </w:r>
      <w:proofErr w:type="spellStart"/>
      <w:r w:rsidRPr="00B12323">
        <w:t>special</w:t>
      </w:r>
      <w:proofErr w:type="spellEnd"/>
      <w:r w:rsidRPr="00B12323">
        <w:t xml:space="preserve"> modo nei mercati delle </w:t>
      </w:r>
      <w:hyperlink r:id="rId80" w:tooltip="Materia prima" w:history="1">
        <w:r w:rsidRPr="00B12323">
          <w:rPr>
            <w:rStyle w:val="Collegamentoipertestuale"/>
          </w:rPr>
          <w:t>materie prime</w:t>
        </w:r>
      </w:hyperlink>
      <w:r w:rsidRPr="00B12323">
        <w:t>).</w:t>
      </w:r>
    </w:p>
    <w:p w:rsidR="00B7534A" w:rsidRPr="00B12323" w:rsidRDefault="00B7534A" w:rsidP="00B7534A">
      <w:pPr>
        <w:pStyle w:val="NormaleWeb"/>
        <w:jc w:val="both"/>
      </w:pPr>
      <w:r w:rsidRPr="00B12323">
        <w:t xml:space="preserve">Dal momento che la teoria keynesiana non era in grado di spiegare correttamente questo nuovo fenomeno molti </w:t>
      </w:r>
      <w:hyperlink r:id="rId81" w:tooltip="Economista" w:history="1">
        <w:r w:rsidRPr="00B12323">
          <w:rPr>
            <w:rStyle w:val="Collegamentoipertestuale"/>
          </w:rPr>
          <w:t>economisti</w:t>
        </w:r>
      </w:hyperlink>
      <w:r w:rsidRPr="00B12323">
        <w:t xml:space="preserve"> superarono l’idea keynesiana, che fino ad allora era riuscita a spiegare e giustificare validamente i fenomeni presenti nelle economie di mercato, ritornando alle convinzioni della teoria economica classica.</w:t>
      </w:r>
    </w:p>
    <w:p w:rsidR="00B7534A" w:rsidRPr="00B12323"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Default="00B7534A" w:rsidP="00B7534A">
      <w:pPr>
        <w:jc w:val="both"/>
        <w:rPr>
          <w:rFonts w:ascii="Times New Roman" w:hAnsi="Times New Roman" w:cs="Times New Roman"/>
        </w:rPr>
      </w:pPr>
    </w:p>
    <w:p w:rsidR="00B7534A" w:rsidRDefault="00B7534A" w:rsidP="00B7534A">
      <w:pPr>
        <w:jc w:val="both"/>
        <w:rPr>
          <w:rFonts w:ascii="Times New Roman" w:hAnsi="Times New Roman" w:cs="Times New Roman"/>
        </w:rPr>
      </w:pPr>
    </w:p>
    <w:p w:rsidR="00B7534A" w:rsidRDefault="00B7534A" w:rsidP="00B7534A">
      <w:pPr>
        <w:jc w:val="both"/>
        <w:rPr>
          <w:rFonts w:ascii="Times New Roman" w:hAnsi="Times New Roman" w:cs="Times New Roman"/>
        </w:rPr>
      </w:pPr>
    </w:p>
    <w:p w:rsidR="00B7534A" w:rsidRPr="00B12323" w:rsidRDefault="00B7534A" w:rsidP="00B7534A">
      <w:pPr>
        <w:jc w:val="both"/>
        <w:rPr>
          <w:rFonts w:ascii="Times New Roman" w:hAnsi="Times New Roman" w:cs="Times New Roman"/>
        </w:rPr>
      </w:pPr>
    </w:p>
    <w:p w:rsidR="00B7534A" w:rsidRPr="00B12323" w:rsidRDefault="00B7534A" w:rsidP="00B7534A">
      <w:pPr>
        <w:pStyle w:val="Titolo1"/>
        <w:jc w:val="both"/>
      </w:pPr>
      <w:r w:rsidRPr="00B12323">
        <w:t>Iperinflazione</w:t>
      </w:r>
    </w:p>
    <w:p w:rsidR="00B7534A" w:rsidRPr="00B12323" w:rsidRDefault="00B7534A" w:rsidP="00B7534A">
      <w:pPr>
        <w:pStyle w:val="Titolo3"/>
        <w:jc w:val="both"/>
        <w:rPr>
          <w:rFonts w:ascii="Times New Roman" w:hAnsi="Times New Roman" w:cs="Times New Roman"/>
          <w:b w:val="0"/>
          <w:bCs w:val="0"/>
          <w:i/>
          <w:iCs/>
        </w:rPr>
      </w:pPr>
      <w:r w:rsidRPr="00B12323">
        <w:rPr>
          <w:rFonts w:ascii="Times New Roman" w:hAnsi="Times New Roman" w:cs="Times New Roman"/>
          <w:b w:val="0"/>
          <w:bCs w:val="0"/>
          <w:i/>
          <w:iCs/>
        </w:rPr>
        <w:t xml:space="preserve">Da </w:t>
      </w:r>
      <w:proofErr w:type="spellStart"/>
      <w:r w:rsidRPr="00B12323">
        <w:rPr>
          <w:rFonts w:ascii="Times New Roman" w:hAnsi="Times New Roman" w:cs="Times New Roman"/>
          <w:b w:val="0"/>
          <w:bCs w:val="0"/>
          <w:i/>
          <w:iCs/>
        </w:rPr>
        <w:t>Wikipedia</w:t>
      </w:r>
      <w:proofErr w:type="spellEnd"/>
      <w:r w:rsidRPr="00B12323">
        <w:rPr>
          <w:rFonts w:ascii="Times New Roman" w:hAnsi="Times New Roman" w:cs="Times New Roman"/>
          <w:b w:val="0"/>
          <w:bCs w:val="0"/>
          <w:i/>
          <w:iCs/>
        </w:rPr>
        <w:t>, l'enciclopedia libera.</w:t>
      </w:r>
    </w:p>
    <w:p w:rsidR="00B7534A" w:rsidRPr="00B12323" w:rsidRDefault="00B7534A" w:rsidP="00B7534A">
      <w:pPr>
        <w:jc w:val="both"/>
        <w:rPr>
          <w:rFonts w:ascii="Times New Roman" w:hAnsi="Times New Roman" w:cs="Times New Roman"/>
          <w:vanish/>
          <w:sz w:val="24"/>
          <w:szCs w:val="24"/>
        </w:rPr>
      </w:pPr>
      <w:r w:rsidRPr="00B12323">
        <w:rPr>
          <w:rFonts w:ascii="Times New Roman" w:hAnsi="Times New Roman" w:cs="Times New Roman"/>
          <w:vanish/>
        </w:rPr>
        <w:t xml:space="preserve">Vai a: </w:t>
      </w:r>
      <w:hyperlink r:id="rId82" w:anchor="column-one" w:history="1">
        <w:r w:rsidRPr="00B12323">
          <w:rPr>
            <w:rStyle w:val="Collegamentoipertestuale"/>
            <w:rFonts w:ascii="Times New Roman" w:hAnsi="Times New Roman" w:cs="Times New Roman"/>
            <w:vanish/>
          </w:rPr>
          <w:t>Navigazione</w:t>
        </w:r>
      </w:hyperlink>
      <w:r w:rsidRPr="00B12323">
        <w:rPr>
          <w:rFonts w:ascii="Times New Roman" w:hAnsi="Times New Roman" w:cs="Times New Roman"/>
          <w:vanish/>
        </w:rPr>
        <w:t xml:space="preserve">, </w:t>
      </w:r>
      <w:hyperlink r:id="rId83" w:anchor="searchInput" w:history="1">
        <w:r w:rsidRPr="00B12323">
          <w:rPr>
            <w:rStyle w:val="Collegamentoipertestuale"/>
            <w:rFonts w:ascii="Times New Roman" w:hAnsi="Times New Roman" w:cs="Times New Roman"/>
            <w:vanish/>
          </w:rPr>
          <w:t>cerca</w:t>
        </w:r>
      </w:hyperlink>
    </w:p>
    <w:p w:rsidR="00B7534A" w:rsidRPr="00B12323" w:rsidRDefault="00B7534A" w:rsidP="00B7534A">
      <w:pPr>
        <w:pStyle w:val="NormaleWeb"/>
        <w:jc w:val="both"/>
      </w:pPr>
      <w:r w:rsidRPr="00B12323">
        <w:t xml:space="preserve">Con il termine </w:t>
      </w:r>
      <w:r w:rsidRPr="00B12323">
        <w:rPr>
          <w:b/>
          <w:bCs/>
        </w:rPr>
        <w:t>iperinflazione</w:t>
      </w:r>
      <w:r w:rsidRPr="00B12323">
        <w:t xml:space="preserve"> si intende una situazione di </w:t>
      </w:r>
      <w:hyperlink r:id="rId84" w:tooltip="Inflazione" w:history="1">
        <w:r w:rsidRPr="00B12323">
          <w:rPr>
            <w:rStyle w:val="Collegamentoipertestuale"/>
          </w:rPr>
          <w:t>inflazione</w:t>
        </w:r>
      </w:hyperlink>
      <w:r w:rsidRPr="00B12323">
        <w:t xml:space="preserve"> particolarmente elevata.</w:t>
      </w:r>
    </w:p>
    <w:p w:rsidR="00B7534A" w:rsidRPr="00B12323" w:rsidRDefault="00B7534A" w:rsidP="00B7534A">
      <w:pPr>
        <w:pStyle w:val="NormaleWeb"/>
        <w:jc w:val="both"/>
      </w:pPr>
      <w:r w:rsidRPr="00B12323">
        <w:t xml:space="preserve">L'iperinflazione è un fenomeno </w:t>
      </w:r>
      <w:hyperlink r:id="rId85" w:tooltip="Moneta" w:history="1">
        <w:r w:rsidRPr="00B12323">
          <w:rPr>
            <w:rStyle w:val="Collegamentoipertestuale"/>
          </w:rPr>
          <w:t>monetario</w:t>
        </w:r>
      </w:hyperlink>
      <w:r w:rsidRPr="00B12323">
        <w:t>, per il quale l'inflazione di un paese eccede significativamente i livelli medi mondiali. Generalmente si parla di iperinflazione quando l'inflazione mensile eccede il 50%, ossia più dell'1% al giorno. Il termine viene abusato dai giornalisti per indicare situazioni di inflazione elevata.</w:t>
      </w:r>
    </w:p>
    <w:p w:rsidR="00B7534A" w:rsidRPr="00B12323" w:rsidRDefault="00B7534A" w:rsidP="00B7534A">
      <w:pPr>
        <w:pStyle w:val="Titolo2"/>
        <w:jc w:val="both"/>
      </w:pPr>
      <w:r w:rsidRPr="00B12323">
        <w:rPr>
          <w:rStyle w:val="mw-headline"/>
        </w:rPr>
        <w:t>Esempi storici</w:t>
      </w:r>
      <w:r w:rsidRPr="00B12323">
        <w:t xml:space="preserve"> </w:t>
      </w:r>
      <w:r w:rsidRPr="00B12323">
        <w:rPr>
          <w:rStyle w:val="editsection"/>
          <w:b w:val="0"/>
          <w:bCs w:val="0"/>
        </w:rPr>
        <w:t>[</w:t>
      </w:r>
      <w:hyperlink r:id="rId86" w:tooltip="Modifica la sezione Esempi storici" w:history="1">
        <w:r w:rsidRPr="00B12323">
          <w:rPr>
            <w:rStyle w:val="Collegamentoipertestuale"/>
            <w:b w:val="0"/>
            <w:bCs w:val="0"/>
          </w:rPr>
          <w:t>modifica</w:t>
        </w:r>
      </w:hyperlink>
      <w:r w:rsidRPr="00B12323">
        <w:rPr>
          <w:rStyle w:val="editsection"/>
          <w:b w:val="0"/>
          <w:bCs w:val="0"/>
        </w:rPr>
        <w:t>]</w:t>
      </w:r>
    </w:p>
    <w:p w:rsidR="00B7534A" w:rsidRPr="00B12323" w:rsidRDefault="00B7534A" w:rsidP="00B7534A">
      <w:pPr>
        <w:pStyle w:val="NormaleWeb"/>
        <w:jc w:val="both"/>
      </w:pPr>
      <w:r w:rsidRPr="00B12323">
        <w:t xml:space="preserve">Casi di iperinflazione si sono registrati in paesi del </w:t>
      </w:r>
      <w:hyperlink r:id="rId87" w:tooltip="Sud America" w:history="1">
        <w:r w:rsidRPr="00B12323">
          <w:rPr>
            <w:rStyle w:val="Collegamentoipertestuale"/>
          </w:rPr>
          <w:t>Sud America</w:t>
        </w:r>
      </w:hyperlink>
      <w:r w:rsidRPr="00B12323">
        <w:t xml:space="preserve"> negli </w:t>
      </w:r>
      <w:hyperlink r:id="rId88" w:tooltip="Anni 1990" w:history="1">
        <w:r w:rsidRPr="00B12323">
          <w:rPr>
            <w:rStyle w:val="Collegamentoipertestuale"/>
          </w:rPr>
          <w:t>anni novanta</w:t>
        </w:r>
      </w:hyperlink>
      <w:r w:rsidRPr="00B12323">
        <w:t xml:space="preserve"> e in </w:t>
      </w:r>
      <w:hyperlink r:id="rId89" w:tooltip="Germania" w:history="1">
        <w:r w:rsidRPr="00B12323">
          <w:rPr>
            <w:rStyle w:val="Collegamentoipertestuale"/>
          </w:rPr>
          <w:t>Germania</w:t>
        </w:r>
      </w:hyperlink>
      <w:r w:rsidRPr="00B12323">
        <w:t xml:space="preserve"> durante gli </w:t>
      </w:r>
      <w:hyperlink r:id="rId90" w:tooltip="Anni 1920" w:history="1">
        <w:r w:rsidRPr="00B12323">
          <w:rPr>
            <w:rStyle w:val="Collegamentoipertestuale"/>
          </w:rPr>
          <w:t>anni venti</w:t>
        </w:r>
      </w:hyperlink>
      <w:r w:rsidRPr="00B12323">
        <w:t xml:space="preserve">, nella fase politica nota come </w:t>
      </w:r>
      <w:hyperlink r:id="rId91" w:tooltip="Repubblica di Weimar" w:history="1">
        <w:r w:rsidRPr="00B12323">
          <w:rPr>
            <w:rStyle w:val="Collegamentoipertestuale"/>
          </w:rPr>
          <w:t>Repubblica di Weimar</w:t>
        </w:r>
      </w:hyperlink>
      <w:r w:rsidRPr="00B12323">
        <w:t>.</w:t>
      </w:r>
    </w:p>
    <w:p w:rsidR="00B7534A" w:rsidRPr="00B12323" w:rsidRDefault="00B7534A" w:rsidP="00B7534A">
      <w:pPr>
        <w:pStyle w:val="NormaleWeb"/>
        <w:jc w:val="both"/>
      </w:pPr>
      <w:r w:rsidRPr="00B12323">
        <w:t xml:space="preserve">Un altro esempio di iperinflazione si verificò in </w:t>
      </w:r>
      <w:hyperlink r:id="rId92" w:tooltip="Russia" w:history="1">
        <w:r w:rsidRPr="00B12323">
          <w:rPr>
            <w:rStyle w:val="Collegamentoipertestuale"/>
          </w:rPr>
          <w:t>Russia</w:t>
        </w:r>
      </w:hyperlink>
      <w:r w:rsidRPr="00B12323">
        <w:t xml:space="preserve">, durante la presidenza di </w:t>
      </w:r>
      <w:hyperlink r:id="rId93" w:tooltip="Boris Eltsin" w:history="1">
        <w:r w:rsidRPr="00B12323">
          <w:rPr>
            <w:rStyle w:val="Collegamentoipertestuale"/>
          </w:rPr>
          <w:t>Boris Eltsin</w:t>
        </w:r>
      </w:hyperlink>
      <w:r w:rsidRPr="00B12323">
        <w:t xml:space="preserve">, a seguito della </w:t>
      </w:r>
      <w:hyperlink r:id="rId94" w:tooltip="Svalutazione" w:history="1">
        <w:r w:rsidRPr="00B12323">
          <w:rPr>
            <w:rStyle w:val="Collegamentoipertestuale"/>
          </w:rPr>
          <w:t>svalutazione</w:t>
        </w:r>
      </w:hyperlink>
      <w:r w:rsidRPr="00B12323">
        <w:t xml:space="preserve"> del </w:t>
      </w:r>
      <w:hyperlink r:id="rId95" w:tooltip="Rublo" w:history="1">
        <w:r w:rsidRPr="00B12323">
          <w:rPr>
            <w:rStyle w:val="Collegamentoipertestuale"/>
          </w:rPr>
          <w:t>rublo</w:t>
        </w:r>
      </w:hyperlink>
      <w:r w:rsidRPr="00B12323">
        <w:t>.</w:t>
      </w:r>
    </w:p>
    <w:p w:rsidR="00B7534A" w:rsidRPr="00B12323" w:rsidRDefault="00B7534A" w:rsidP="00B7534A">
      <w:pPr>
        <w:pStyle w:val="NormaleWeb"/>
        <w:jc w:val="both"/>
      </w:pPr>
      <w:r w:rsidRPr="00B12323">
        <w:t xml:space="preserve">Lo </w:t>
      </w:r>
      <w:hyperlink r:id="rId96" w:tooltip="Zimbabwe" w:history="1">
        <w:r w:rsidRPr="00B12323">
          <w:rPr>
            <w:rStyle w:val="Collegamentoipertestuale"/>
          </w:rPr>
          <w:t>Zimbabwe</w:t>
        </w:r>
      </w:hyperlink>
      <w:r w:rsidRPr="00B12323">
        <w:t xml:space="preserve"> attraversa una grave fase d'iperinflazione a causa della continua emissione di banconote, il cui valore nominale non è supportato da beni reali e che non godono della fiducia degli operatori economici. A cavallo tra il </w:t>
      </w:r>
      <w:hyperlink r:id="rId97" w:tooltip="2007" w:history="1">
        <w:r w:rsidRPr="00B12323">
          <w:rPr>
            <w:rStyle w:val="Collegamentoipertestuale"/>
          </w:rPr>
          <w:t>2007</w:t>
        </w:r>
      </w:hyperlink>
      <w:r w:rsidRPr="00B12323">
        <w:t xml:space="preserve"> e il </w:t>
      </w:r>
      <w:hyperlink r:id="rId98" w:tooltip="2008" w:history="1">
        <w:r w:rsidRPr="00B12323">
          <w:rPr>
            <w:rStyle w:val="Collegamentoipertestuale"/>
          </w:rPr>
          <w:t>2008</w:t>
        </w:r>
      </w:hyperlink>
      <w:r w:rsidRPr="00B12323">
        <w:t xml:space="preserve"> l'inflazione dello Zimbabwe si aggirava sul 60.000%-100.000%, ha raggiunto i 2.000.000% intorno alla metà del </w:t>
      </w:r>
      <w:hyperlink r:id="rId99" w:tooltip="2008" w:history="1">
        <w:r w:rsidRPr="00B12323">
          <w:rPr>
            <w:rStyle w:val="Collegamentoipertestuale"/>
          </w:rPr>
          <w:t>2008</w:t>
        </w:r>
      </w:hyperlink>
      <w:r w:rsidRPr="00B12323">
        <w:t>, ha toccato gli 11.200.000% nel settembre dello stesso anno per raggiungere l'incredibile dato del 231.000.000% in ottobre.</w:t>
      </w:r>
    </w:p>
    <w:p w:rsidR="00B7534A" w:rsidRPr="00B12323" w:rsidRDefault="00B7534A" w:rsidP="00B7534A">
      <w:pPr>
        <w:pStyle w:val="Titolo2"/>
        <w:jc w:val="both"/>
      </w:pPr>
      <w:r w:rsidRPr="00B12323">
        <w:rPr>
          <w:rStyle w:val="mw-headline"/>
        </w:rPr>
        <w:t>Cause dell'iperinflazione</w:t>
      </w:r>
      <w:r w:rsidRPr="00B12323">
        <w:t xml:space="preserve"> </w:t>
      </w:r>
      <w:r w:rsidRPr="00B12323">
        <w:rPr>
          <w:rStyle w:val="editsection"/>
          <w:b w:val="0"/>
          <w:bCs w:val="0"/>
        </w:rPr>
        <w:t>[</w:t>
      </w:r>
      <w:hyperlink r:id="rId100" w:tooltip="Modifica la sezione Cause dell'iperinflazione" w:history="1">
        <w:r w:rsidRPr="00B12323">
          <w:rPr>
            <w:rStyle w:val="Collegamentoipertestuale"/>
            <w:b w:val="0"/>
            <w:bCs w:val="0"/>
          </w:rPr>
          <w:t>modifica</w:t>
        </w:r>
      </w:hyperlink>
      <w:r w:rsidRPr="00B12323">
        <w:rPr>
          <w:rStyle w:val="editsection"/>
          <w:b w:val="0"/>
          <w:bCs w:val="0"/>
        </w:rPr>
        <w:t>]</w:t>
      </w:r>
    </w:p>
    <w:p w:rsidR="00B7534A" w:rsidRPr="00B12323" w:rsidRDefault="00B7534A" w:rsidP="00B7534A">
      <w:pPr>
        <w:pStyle w:val="NormaleWeb"/>
        <w:jc w:val="both"/>
      </w:pPr>
      <w:r w:rsidRPr="00B12323">
        <w:t>Un'eccessiva quantità di moneta circolante è uno dei principali fattori di inflazione e di iperinflazione.</w:t>
      </w:r>
    </w:p>
    <w:p w:rsidR="00B7534A" w:rsidRPr="00B12323" w:rsidRDefault="00B7534A" w:rsidP="00B7534A">
      <w:pPr>
        <w:pStyle w:val="NormaleWeb"/>
        <w:jc w:val="both"/>
      </w:pPr>
      <w:r w:rsidRPr="00B12323">
        <w:t xml:space="preserve">Tale eccesso può dipendere da un'eccessiva emissione di moneta circolante da parte delle </w:t>
      </w:r>
      <w:hyperlink r:id="rId101" w:tooltip="Banca centrale" w:history="1">
        <w:r w:rsidRPr="00B12323">
          <w:rPr>
            <w:rStyle w:val="Collegamentoipertestuale"/>
          </w:rPr>
          <w:t>banche centrali</w:t>
        </w:r>
      </w:hyperlink>
      <w:r w:rsidRPr="00B12323">
        <w:t xml:space="preserve"> e degli </w:t>
      </w:r>
      <w:hyperlink r:id="rId102" w:tooltip="Banca" w:history="1">
        <w:r w:rsidRPr="00B12323">
          <w:rPr>
            <w:rStyle w:val="Collegamentoipertestuale"/>
          </w:rPr>
          <w:t>istituti di credito</w:t>
        </w:r>
      </w:hyperlink>
      <w:r w:rsidRPr="00B12323">
        <w:t xml:space="preserve">, o da una conversione dei depositi in moneta circolante, superiore alla media. Questa monetizzazione degli attivi di famiglie, imprese, Stato (quali depositi in conto corrente, titoli, valute estere, etc.) avviene in presenza di un </w:t>
      </w:r>
      <w:hyperlink r:id="rId103" w:tooltip="Bank run" w:history="1">
        <w:proofErr w:type="spellStart"/>
        <w:r w:rsidRPr="00B12323">
          <w:rPr>
            <w:rStyle w:val="Collegamentoipertestuale"/>
          </w:rPr>
          <w:t>bank</w:t>
        </w:r>
        <w:proofErr w:type="spellEnd"/>
        <w:r w:rsidRPr="00B12323">
          <w:rPr>
            <w:rStyle w:val="Collegamentoipertestuale"/>
          </w:rPr>
          <w:t xml:space="preserve"> </w:t>
        </w:r>
        <w:proofErr w:type="spellStart"/>
        <w:r w:rsidRPr="00B12323">
          <w:rPr>
            <w:rStyle w:val="Collegamentoipertestuale"/>
          </w:rPr>
          <w:t>run</w:t>
        </w:r>
        <w:proofErr w:type="spellEnd"/>
      </w:hyperlink>
      <w:r w:rsidRPr="00B12323">
        <w:t>, di una crisi di liquidità, di un'eccessiva svalutazione.</w:t>
      </w:r>
    </w:p>
    <w:p w:rsidR="00B7534A" w:rsidRPr="00B12323" w:rsidRDefault="00B7534A" w:rsidP="00B7534A">
      <w:pPr>
        <w:pStyle w:val="NormaleWeb"/>
        <w:jc w:val="both"/>
      </w:pPr>
      <w:r w:rsidRPr="00B12323">
        <w:t>In questi casi, i soggetti economici prelevano molto di più dei loro risparmi perché temono di perdere il loro denaro, o perché necessitano di somme maggiori per fronteggiare investimenti e spese correnti.</w:t>
      </w:r>
    </w:p>
    <w:p w:rsidR="00B7534A" w:rsidRPr="00B12323" w:rsidRDefault="00B7534A" w:rsidP="00B7534A">
      <w:pPr>
        <w:pStyle w:val="NormaleWeb"/>
        <w:jc w:val="both"/>
      </w:pPr>
      <w:r w:rsidRPr="00B12323">
        <w:t>Il secondo fattore, l'emissione di nuova moneta, da parte di banche centrali e altri istituti di credito, può essere rivolta a soddisfare le esigenze di liquidità di qualche soggetto economico particolare, -come Stato, finanza o imprese-, trascurando le conseguenze per l'intero sistema di un'eccessiva massa monetaria.</w:t>
      </w:r>
    </w:p>
    <w:p w:rsidR="00B7534A" w:rsidRPr="00B12323" w:rsidRDefault="00B7534A" w:rsidP="00B7534A">
      <w:pPr>
        <w:pStyle w:val="NormaleWeb"/>
        <w:jc w:val="both"/>
      </w:pPr>
      <w:r w:rsidRPr="00B12323">
        <w:t xml:space="preserve">Il finanziamento di una quota consistente della </w:t>
      </w:r>
      <w:hyperlink r:id="rId104" w:tooltip="Spesa pubblica" w:history="1">
        <w:r w:rsidRPr="00B12323">
          <w:rPr>
            <w:rStyle w:val="Collegamentoipertestuale"/>
          </w:rPr>
          <w:t>spesa pubblica</w:t>
        </w:r>
      </w:hyperlink>
      <w:r w:rsidRPr="00B12323">
        <w:t xml:space="preserve"> attraverso l'emissione di </w:t>
      </w:r>
      <w:hyperlink r:id="rId105" w:tooltip="Moneta" w:history="1">
        <w:r w:rsidRPr="00B12323">
          <w:rPr>
            <w:rStyle w:val="Collegamentoipertestuale"/>
          </w:rPr>
          <w:t>moneta</w:t>
        </w:r>
      </w:hyperlink>
      <w:r w:rsidRPr="00B12323">
        <w:t xml:space="preserve"> anziché tramite le </w:t>
      </w:r>
      <w:hyperlink r:id="rId106" w:tooltip="Imposte" w:history="1">
        <w:r w:rsidRPr="00B12323">
          <w:rPr>
            <w:rStyle w:val="Collegamentoipertestuale"/>
          </w:rPr>
          <w:t>imposte</w:t>
        </w:r>
      </w:hyperlink>
      <w:r w:rsidRPr="00B12323">
        <w:t xml:space="preserve"> e l'emissione di titoli del </w:t>
      </w:r>
      <w:hyperlink r:id="rId107" w:tooltip="Debito pubblico" w:history="1">
        <w:r w:rsidRPr="00B12323">
          <w:rPr>
            <w:rStyle w:val="Collegamentoipertestuale"/>
          </w:rPr>
          <w:t>debito pubblico</w:t>
        </w:r>
      </w:hyperlink>
      <w:r w:rsidRPr="00B12323">
        <w:t xml:space="preserve">: questo può accadere in caso di </w:t>
      </w:r>
      <w:hyperlink r:id="rId108" w:tooltip="Guerra" w:history="1">
        <w:r w:rsidRPr="00B12323">
          <w:rPr>
            <w:rStyle w:val="Collegamentoipertestuale"/>
          </w:rPr>
          <w:t>guerra</w:t>
        </w:r>
      </w:hyperlink>
      <w:r w:rsidRPr="00B12323">
        <w:t xml:space="preserve"> ("economia di guerra") o per lo shock economico di un </w:t>
      </w:r>
      <w:r w:rsidRPr="00B12323">
        <w:rPr>
          <w:i/>
          <w:iCs/>
        </w:rPr>
        <w:t>default</w:t>
      </w:r>
      <w:r w:rsidRPr="00B12323">
        <w:t xml:space="preserve"> (fallimento) dello Stato o di gruppi finanziari, economici o industriali di importanza economica pari a quella dello Stato stesso.</w:t>
      </w:r>
    </w:p>
    <w:p w:rsidR="00B7534A" w:rsidRPr="00B12323" w:rsidRDefault="00B7534A" w:rsidP="00B7534A">
      <w:pPr>
        <w:pStyle w:val="NormaleWeb"/>
        <w:jc w:val="both"/>
      </w:pPr>
      <w:r w:rsidRPr="00B12323">
        <w:t xml:space="preserve">L'iperinflazione crea un vantaggio per il capitale di debito, perché il valore di mercato dei beni acquistati può crescere di qualche </w:t>
      </w:r>
      <w:hyperlink r:id="rId109" w:tooltip="Ordine di grandezza" w:history="1">
        <w:r w:rsidRPr="00B12323">
          <w:rPr>
            <w:rStyle w:val="Collegamentoipertestuale"/>
          </w:rPr>
          <w:t>ordine di grandezza</w:t>
        </w:r>
      </w:hyperlink>
      <w:r w:rsidRPr="00B12323">
        <w:t xml:space="preserve"> e, vendendo qualche bene del patrimonio, il debito può essere saldato rapidamente. Tuttavia, è molto meno probabile riuscire a realizzare una compravendita.</w:t>
      </w:r>
    </w:p>
    <w:p w:rsidR="00B7534A" w:rsidRPr="00B12323" w:rsidRDefault="00B7534A" w:rsidP="00B7534A">
      <w:pPr>
        <w:pStyle w:val="NormaleWeb"/>
        <w:jc w:val="both"/>
      </w:pPr>
      <w:r w:rsidRPr="00B12323">
        <w:t>Le conseguenze sui redditi dell'iperinflazione sono diverse a seconda delle attività:</w:t>
      </w:r>
    </w:p>
    <w:p w:rsidR="00B7534A" w:rsidRPr="00B12323" w:rsidRDefault="00B7534A" w:rsidP="00B7534A">
      <w:pPr>
        <w:numPr>
          <w:ilvl w:val="0"/>
          <w:numId w:val="14"/>
        </w:numPr>
        <w:spacing w:before="100" w:beforeAutospacing="1" w:after="100" w:afterAutospacing="1" w:line="240" w:lineRule="auto"/>
        <w:jc w:val="both"/>
        <w:rPr>
          <w:rFonts w:ascii="Times New Roman" w:hAnsi="Times New Roman" w:cs="Times New Roman"/>
        </w:rPr>
      </w:pPr>
      <w:r w:rsidRPr="00B12323">
        <w:rPr>
          <w:rFonts w:ascii="Times New Roman" w:hAnsi="Times New Roman" w:cs="Times New Roman"/>
        </w:rPr>
        <w:t xml:space="preserve">i commercianti e chi offre servizi a pagamento possono adeguare giornalmente i prezzi delle merci che vendono e sono quelli che ne risentono meno; </w:t>
      </w:r>
    </w:p>
    <w:p w:rsidR="00B7534A" w:rsidRPr="00B12323" w:rsidRDefault="00B7534A" w:rsidP="00B7534A">
      <w:pPr>
        <w:numPr>
          <w:ilvl w:val="0"/>
          <w:numId w:val="14"/>
        </w:numPr>
        <w:spacing w:before="100" w:beforeAutospacing="1" w:after="100" w:afterAutospacing="1" w:line="240" w:lineRule="auto"/>
        <w:jc w:val="both"/>
        <w:rPr>
          <w:rFonts w:ascii="Times New Roman" w:hAnsi="Times New Roman" w:cs="Times New Roman"/>
        </w:rPr>
      </w:pPr>
      <w:r w:rsidRPr="00B12323">
        <w:rPr>
          <w:rFonts w:ascii="Times New Roman" w:hAnsi="Times New Roman" w:cs="Times New Roman"/>
        </w:rPr>
        <w:t xml:space="preserve">gli stipendiati (operai, impiegati ecc.) ne sono più colpiti, ma possono premere sui loro datori di lavoro affinché il loro salario aumenti, sia pure più lentamente dell'inflazione stessa (con il pericolo però che si inneschi la cosiddetta </w:t>
      </w:r>
      <w:hyperlink r:id="rId110" w:tooltip="Spirale prezzi-salari (pagina inesistente)" w:history="1">
        <w:r w:rsidRPr="00B12323">
          <w:rPr>
            <w:rStyle w:val="Collegamentoipertestuale"/>
            <w:rFonts w:ascii="Times New Roman" w:hAnsi="Times New Roman" w:cs="Times New Roman"/>
            <w:color w:val="CC2200"/>
          </w:rPr>
          <w:t>spirale prezzi-salari</w:t>
        </w:r>
      </w:hyperlink>
      <w:r w:rsidRPr="00B12323">
        <w:rPr>
          <w:rFonts w:ascii="Times New Roman" w:hAnsi="Times New Roman" w:cs="Times New Roman"/>
        </w:rPr>
        <w:t xml:space="preserve">); </w:t>
      </w:r>
    </w:p>
    <w:p w:rsidR="00B7534A" w:rsidRPr="00B12323" w:rsidRDefault="00B7534A" w:rsidP="00B7534A">
      <w:pPr>
        <w:numPr>
          <w:ilvl w:val="0"/>
          <w:numId w:val="14"/>
        </w:numPr>
        <w:spacing w:before="100" w:beforeAutospacing="1" w:after="100" w:afterAutospacing="1" w:line="240" w:lineRule="auto"/>
        <w:jc w:val="both"/>
        <w:rPr>
          <w:rFonts w:ascii="Times New Roman" w:hAnsi="Times New Roman" w:cs="Times New Roman"/>
        </w:rPr>
      </w:pPr>
      <w:r w:rsidRPr="00B12323">
        <w:rPr>
          <w:rFonts w:ascii="Times New Roman" w:hAnsi="Times New Roman" w:cs="Times New Roman"/>
        </w:rPr>
        <w:t xml:space="preserve">la situazione peggiore la vivono gli agricoltori, e soprattutto i coltivatori dediti a coltivazioni annuali (cioè che vendono il loro raccolto una volta l'anno) sono i più colpiti di tutti, perché il valore in denaro che ricavano dalla vendita si perde quasi completamente da un raccolto all'altro, e restano per la maggior parte dell'anno privi di sussistenza; perciò gli agricoltori sono i primi, in caso di forte inflazione, a preferire lo scambio di beni in natura, cioè il </w:t>
      </w:r>
      <w:hyperlink r:id="rId111" w:tooltip="Baratto" w:history="1">
        <w:r w:rsidRPr="00B12323">
          <w:rPr>
            <w:rStyle w:val="Collegamentoipertestuale"/>
            <w:rFonts w:ascii="Times New Roman" w:hAnsi="Times New Roman" w:cs="Times New Roman"/>
          </w:rPr>
          <w:t>baratto</w:t>
        </w:r>
      </w:hyperlink>
      <w:r w:rsidRPr="00B12323">
        <w:rPr>
          <w:rFonts w:ascii="Times New Roman" w:hAnsi="Times New Roman" w:cs="Times New Roman"/>
        </w:rPr>
        <w:t xml:space="preserve">, e a rifiutare i pagamenti in monete. </w:t>
      </w:r>
    </w:p>
    <w:p w:rsidR="00B7534A" w:rsidRPr="00B12323" w:rsidRDefault="00B7534A" w:rsidP="00B7534A">
      <w:pPr>
        <w:pStyle w:val="NormaleWeb"/>
        <w:jc w:val="both"/>
      </w:pPr>
      <w:r w:rsidRPr="00B12323">
        <w:t xml:space="preserve">La continua perdita di </w:t>
      </w:r>
      <w:hyperlink r:id="rId112" w:tooltip="Potere di acquisto" w:history="1">
        <w:r w:rsidRPr="00B12323">
          <w:rPr>
            <w:rStyle w:val="Collegamentoipertestuale"/>
          </w:rPr>
          <w:t>potere di acquisto</w:t>
        </w:r>
      </w:hyperlink>
      <w:r w:rsidRPr="00B12323">
        <w:t xml:space="preserve"> della moneta (tipica dei periodi di iperinflazione) spinge poi gli operatori a disfarsi quanto prima possibile della moneta ricevuta, contribuendo ad accelerare ancora di più il fenomeno inflativo (a causa dell'aumento della </w:t>
      </w:r>
      <w:hyperlink r:id="rId113" w:tooltip="Velocità di circolazione della moneta" w:history="1">
        <w:r w:rsidRPr="00B12323">
          <w:rPr>
            <w:rStyle w:val="Collegamentoipertestuale"/>
          </w:rPr>
          <w:t>velocità di circolazione della moneta</w:t>
        </w:r>
      </w:hyperlink>
      <w:r w:rsidRPr="00B12323">
        <w:t xml:space="preserve"> così prodotto); si innesca così un circolo vizioso, che in assenza di un intervento deciso dell'autorità monetaria non può essere interrotto.</w:t>
      </w:r>
    </w:p>
    <w:p w:rsidR="00B7534A" w:rsidRPr="00B12323" w:rsidRDefault="00B7534A" w:rsidP="00B7534A">
      <w:pPr>
        <w:pStyle w:val="NormaleWeb"/>
        <w:jc w:val="both"/>
      </w:pPr>
      <w:r w:rsidRPr="00B12323">
        <w:t>Per l'alterazione profonda che ne deriva nella distribuzione dei redditi, l'iperinflazione ha sempre ripercussioni sull'equilibrio politico del sistema.</w:t>
      </w:r>
    </w:p>
    <w:p w:rsidR="00B7534A" w:rsidRPr="00B12323" w:rsidRDefault="00B7534A" w:rsidP="00B7534A">
      <w:pPr>
        <w:pStyle w:val="NormaleWeb"/>
        <w:jc w:val="both"/>
      </w:pPr>
      <w:r w:rsidRPr="00B12323">
        <w:t xml:space="preserve">Le conseguenze più gravi dei fenomeni di iperinflazione sono però quelle prodotte sull'economia reale: l'incertezza sul valore della moneta si trasmette sull'intera attività economica, scoraggiando gli </w:t>
      </w:r>
      <w:hyperlink r:id="rId114" w:tooltip="Investimenti" w:history="1">
        <w:r w:rsidRPr="00B12323">
          <w:rPr>
            <w:rStyle w:val="Collegamentoipertestuale"/>
          </w:rPr>
          <w:t>investimenti</w:t>
        </w:r>
      </w:hyperlink>
      <w:r w:rsidRPr="00B12323">
        <w:t xml:space="preserve">, con gravi conseguenze sui livelli di </w:t>
      </w:r>
      <w:hyperlink r:id="rId115" w:tooltip="Prodotto interno lordo" w:history="1">
        <w:r w:rsidRPr="00B12323">
          <w:rPr>
            <w:rStyle w:val="Collegamentoipertestuale"/>
          </w:rPr>
          <w:t>reddito nazionale</w:t>
        </w:r>
      </w:hyperlink>
      <w:r w:rsidRPr="00B12323">
        <w:t xml:space="preserve"> e di </w:t>
      </w:r>
      <w:hyperlink r:id="rId116" w:tooltip="Disoccupazione" w:history="1">
        <w:r w:rsidRPr="00B12323">
          <w:rPr>
            <w:rStyle w:val="Collegamentoipertestuale"/>
          </w:rPr>
          <w:t>occupazione</w:t>
        </w:r>
      </w:hyperlink>
      <w:r w:rsidRPr="00B12323">
        <w:t xml:space="preserve"> (inasprendo così la situazione di crisi della popolazione</w:t>
      </w:r>
    </w:p>
    <w:p w:rsidR="00DC36AD" w:rsidRDefault="00DC36AD" w:rsidP="0043699C"/>
    <w:p w:rsidR="00DC36AD" w:rsidRDefault="00DC36AD" w:rsidP="0043699C"/>
    <w:p w:rsidR="00DC36AD" w:rsidRDefault="00DC36AD" w:rsidP="0043699C"/>
    <w:p w:rsidR="00DC36AD" w:rsidRDefault="00DC36AD" w:rsidP="0043699C"/>
    <w:p w:rsidR="00DC36AD" w:rsidRDefault="00DC36AD" w:rsidP="0043699C"/>
    <w:p w:rsidR="00DC36AD" w:rsidRDefault="00DC36AD" w:rsidP="0043699C"/>
    <w:p w:rsidR="00DC36AD" w:rsidRDefault="00DC36AD" w:rsidP="0043699C"/>
    <w:p w:rsidR="00DC36AD" w:rsidRDefault="00DC36AD" w:rsidP="0043699C"/>
    <w:sectPr w:rsidR="00DC36AD" w:rsidSect="0015737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angItalic">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geInTextSemiBold">
    <w:panose1 w:val="00000000000000000000"/>
    <w:charset w:val="00"/>
    <w:family w:val="auto"/>
    <w:notTrueType/>
    <w:pitch w:val="default"/>
    <w:sig w:usb0="00000003" w:usb1="00000000" w:usb2="00000000" w:usb3="00000000" w:csb0="00000001" w:csb1="00000000"/>
  </w:font>
  <w:font w:name="VangRoman">
    <w:panose1 w:val="00000000000000000000"/>
    <w:charset w:val="00"/>
    <w:family w:val="auto"/>
    <w:notTrueType/>
    <w:pitch w:val="default"/>
    <w:sig w:usb0="00000003" w:usb1="00000000" w:usb2="00000000" w:usb3="00000000" w:csb0="00000001" w:csb1="00000000"/>
  </w:font>
  <w:font w:name="AGaramondAge-Semibold">
    <w:panose1 w:val="00000000000000000000"/>
    <w:charset w:val="00"/>
    <w:family w:val="auto"/>
    <w:notTrueType/>
    <w:pitch w:val="default"/>
    <w:sig w:usb0="00000003" w:usb1="00000000" w:usb2="00000000" w:usb3="00000000" w:csb0="00000001" w:csb1="00000000"/>
  </w:font>
  <w:font w:name="AgeInTexNormal">
    <w:panose1 w:val="00000000000000000000"/>
    <w:charset w:val="00"/>
    <w:family w:val="auto"/>
    <w:notTrueType/>
    <w:pitch w:val="default"/>
    <w:sig w:usb0="00000003" w:usb1="00000000" w:usb2="00000000" w:usb3="00000000" w:csb0="00000001" w:csb1="00000000"/>
  </w:font>
  <w:font w:name="VangMatto">
    <w:panose1 w:val="00000000000000000000"/>
    <w:charset w:val="00"/>
    <w:family w:val="auto"/>
    <w:notTrueType/>
    <w:pitch w:val="default"/>
    <w:sig w:usb0="00000003" w:usb1="00000000" w:usb2="00000000" w:usb3="00000000" w:csb0="00000001" w:csb1="00000000"/>
  </w:font>
  <w:font w:name="AgeInfoNormalMtto">
    <w:panose1 w:val="00000000000000000000"/>
    <w:charset w:val="00"/>
    <w:family w:val="auto"/>
    <w:notTrueType/>
    <w:pitch w:val="default"/>
    <w:sig w:usb0="00000003" w:usb1="00000000" w:usb2="00000000" w:usb3="00000000" w:csb0="00000001" w:csb1="00000000"/>
  </w:font>
  <w:font w:name="AgeInfoSemiBoldMtto">
    <w:panose1 w:val="00000000000000000000"/>
    <w:charset w:val="00"/>
    <w:family w:val="auto"/>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98DE362"/>
    <w:multiLevelType w:val="hybridMultilevel"/>
    <w:tmpl w:val="0F7E6A6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278487A"/>
    <w:multiLevelType w:val="multilevel"/>
    <w:tmpl w:val="FF46D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BD1666"/>
    <w:multiLevelType w:val="multilevel"/>
    <w:tmpl w:val="4372CA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E75064"/>
    <w:multiLevelType w:val="hybridMultilevel"/>
    <w:tmpl w:val="9F8ADA1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2E610573"/>
    <w:multiLevelType w:val="hybridMultilevel"/>
    <w:tmpl w:val="72D86A3E"/>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5">
    <w:nsid w:val="31A4284E"/>
    <w:multiLevelType w:val="hybridMultilevel"/>
    <w:tmpl w:val="4442F4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1BD2EC8"/>
    <w:multiLevelType w:val="hybridMultilevel"/>
    <w:tmpl w:val="D88C2C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373544F"/>
    <w:multiLevelType w:val="hybridMultilevel"/>
    <w:tmpl w:val="45AE8796"/>
    <w:lvl w:ilvl="0" w:tplc="428C5278">
      <w:start w:val="1"/>
      <w:numFmt w:val="lowerLetter"/>
      <w:lvlText w:val="%1)"/>
      <w:lvlJc w:val="left"/>
      <w:pPr>
        <w:ind w:left="720" w:hanging="360"/>
      </w:pPr>
      <w:rPr>
        <w:rFonts w:ascii="VangItalic" w:hAnsi="VangItalic" w:cs="VangItalic"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4472086A"/>
    <w:multiLevelType w:val="multilevel"/>
    <w:tmpl w:val="F7D0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5656C85"/>
    <w:multiLevelType w:val="hybridMultilevel"/>
    <w:tmpl w:val="CAB660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16E3C13"/>
    <w:multiLevelType w:val="multilevel"/>
    <w:tmpl w:val="ADECC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E50525"/>
    <w:multiLevelType w:val="multilevel"/>
    <w:tmpl w:val="157A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487BDE"/>
    <w:multiLevelType w:val="multilevel"/>
    <w:tmpl w:val="9F60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E654824"/>
    <w:multiLevelType w:val="hybridMultilevel"/>
    <w:tmpl w:val="81366B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7"/>
  </w:num>
  <w:num w:numId="5">
    <w:abstractNumId w:val="9"/>
  </w:num>
  <w:num w:numId="6">
    <w:abstractNumId w:val="6"/>
  </w:num>
  <w:num w:numId="7">
    <w:abstractNumId w:val="4"/>
  </w:num>
  <w:num w:numId="8">
    <w:abstractNumId w:val="13"/>
  </w:num>
  <w:num w:numId="9">
    <w:abstractNumId w:val="5"/>
  </w:num>
  <w:num w:numId="10">
    <w:abstractNumId w:val="2"/>
  </w:num>
  <w:num w:numId="11">
    <w:abstractNumId w:val="11"/>
  </w:num>
  <w:num w:numId="12">
    <w:abstractNumId w:val="10"/>
  </w:num>
  <w:num w:numId="13">
    <w:abstractNumId w:val="12"/>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43699C"/>
    <w:rsid w:val="0015737E"/>
    <w:rsid w:val="00184C7D"/>
    <w:rsid w:val="001F411C"/>
    <w:rsid w:val="00231C6E"/>
    <w:rsid w:val="003F612F"/>
    <w:rsid w:val="0043699C"/>
    <w:rsid w:val="004444F1"/>
    <w:rsid w:val="005947B3"/>
    <w:rsid w:val="00667984"/>
    <w:rsid w:val="007D3722"/>
    <w:rsid w:val="009C0119"/>
    <w:rsid w:val="00A20CA1"/>
    <w:rsid w:val="00AB40AF"/>
    <w:rsid w:val="00B7534A"/>
    <w:rsid w:val="00BD4EB9"/>
    <w:rsid w:val="00C47295"/>
    <w:rsid w:val="00DC36AD"/>
    <w:rsid w:val="00E65FF3"/>
    <w:rsid w:val="00F54AA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5737E"/>
  </w:style>
  <w:style w:type="paragraph" w:styleId="Titolo1">
    <w:name w:val="heading 1"/>
    <w:basedOn w:val="Normale"/>
    <w:link w:val="Titolo1Carattere"/>
    <w:uiPriority w:val="9"/>
    <w:qFormat/>
    <w:rsid w:val="007D3722"/>
    <w:pPr>
      <w:spacing w:before="100" w:beforeAutospacing="1" w:after="75" w:line="300" w:lineRule="atLeast"/>
      <w:outlineLvl w:val="0"/>
    </w:pPr>
    <w:rPr>
      <w:rFonts w:ascii="Arial" w:eastAsia="Times New Roman" w:hAnsi="Arial" w:cs="Arial"/>
      <w:b/>
      <w:bCs/>
      <w:color w:val="000000"/>
      <w:kern w:val="36"/>
      <w:sz w:val="23"/>
      <w:szCs w:val="23"/>
      <w:lang w:eastAsia="it-IT"/>
    </w:rPr>
  </w:style>
  <w:style w:type="paragraph" w:styleId="Titolo2">
    <w:name w:val="heading 2"/>
    <w:basedOn w:val="Normale"/>
    <w:link w:val="Titolo2Carattere"/>
    <w:uiPriority w:val="9"/>
    <w:qFormat/>
    <w:rsid w:val="007D3722"/>
    <w:pPr>
      <w:spacing w:before="100" w:beforeAutospacing="1" w:after="100" w:afterAutospacing="1" w:line="240" w:lineRule="auto"/>
      <w:outlineLvl w:val="1"/>
    </w:pPr>
    <w:rPr>
      <w:rFonts w:ascii="Arial" w:eastAsia="Times New Roman" w:hAnsi="Arial" w:cs="Arial"/>
      <w:b/>
      <w:bCs/>
      <w:color w:val="990000"/>
      <w:sz w:val="20"/>
      <w:szCs w:val="20"/>
      <w:lang w:eastAsia="it-IT"/>
    </w:rPr>
  </w:style>
  <w:style w:type="paragraph" w:styleId="Titolo3">
    <w:name w:val="heading 3"/>
    <w:basedOn w:val="Normale"/>
    <w:next w:val="Normale"/>
    <w:link w:val="Titolo3Carattere"/>
    <w:uiPriority w:val="9"/>
    <w:semiHidden/>
    <w:unhideWhenUsed/>
    <w:qFormat/>
    <w:rsid w:val="00B7534A"/>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3699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3699C"/>
    <w:rPr>
      <w:rFonts w:ascii="Tahoma" w:hAnsi="Tahoma" w:cs="Tahoma"/>
      <w:sz w:val="16"/>
      <w:szCs w:val="16"/>
    </w:rPr>
  </w:style>
  <w:style w:type="character" w:styleId="Enfasicorsivo">
    <w:name w:val="Emphasis"/>
    <w:basedOn w:val="Carpredefinitoparagrafo"/>
    <w:uiPriority w:val="20"/>
    <w:qFormat/>
    <w:rsid w:val="0043699C"/>
    <w:rPr>
      <w:i/>
      <w:iCs/>
    </w:rPr>
  </w:style>
  <w:style w:type="paragraph" w:styleId="NormaleWeb">
    <w:name w:val="Normal (Web)"/>
    <w:basedOn w:val="Normale"/>
    <w:uiPriority w:val="99"/>
    <w:unhideWhenUsed/>
    <w:rsid w:val="0043699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43699C"/>
    <w:rPr>
      <w:b/>
      <w:bCs/>
    </w:rPr>
  </w:style>
  <w:style w:type="character" w:styleId="Collegamentoipertestuale">
    <w:name w:val="Hyperlink"/>
    <w:basedOn w:val="Carpredefinitoparagrafo"/>
    <w:uiPriority w:val="99"/>
    <w:semiHidden/>
    <w:unhideWhenUsed/>
    <w:rsid w:val="0043699C"/>
    <w:rPr>
      <w:strike w:val="0"/>
      <w:dstrike w:val="0"/>
      <w:color w:val="396EA4"/>
      <w:u w:val="none"/>
      <w:effect w:val="none"/>
    </w:rPr>
  </w:style>
  <w:style w:type="character" w:customStyle="1" w:styleId="Titolo1Carattere">
    <w:name w:val="Titolo 1 Carattere"/>
    <w:basedOn w:val="Carpredefinitoparagrafo"/>
    <w:link w:val="Titolo1"/>
    <w:uiPriority w:val="9"/>
    <w:rsid w:val="007D3722"/>
    <w:rPr>
      <w:rFonts w:ascii="Arial" w:eastAsia="Times New Roman" w:hAnsi="Arial" w:cs="Arial"/>
      <w:b/>
      <w:bCs/>
      <w:color w:val="000000"/>
      <w:kern w:val="36"/>
      <w:sz w:val="23"/>
      <w:szCs w:val="23"/>
      <w:lang w:eastAsia="it-IT"/>
    </w:rPr>
  </w:style>
  <w:style w:type="character" w:customStyle="1" w:styleId="Titolo2Carattere">
    <w:name w:val="Titolo 2 Carattere"/>
    <w:basedOn w:val="Carpredefinitoparagrafo"/>
    <w:link w:val="Titolo2"/>
    <w:uiPriority w:val="9"/>
    <w:rsid w:val="007D3722"/>
    <w:rPr>
      <w:rFonts w:ascii="Arial" w:eastAsia="Times New Roman" w:hAnsi="Arial" w:cs="Arial"/>
      <w:b/>
      <w:bCs/>
      <w:color w:val="990000"/>
      <w:sz w:val="20"/>
      <w:szCs w:val="20"/>
      <w:lang w:eastAsia="it-IT"/>
    </w:rPr>
  </w:style>
  <w:style w:type="paragraph" w:customStyle="1" w:styleId="Default">
    <w:name w:val="Default"/>
    <w:rsid w:val="00DC36AD"/>
    <w:pPr>
      <w:autoSpaceDE w:val="0"/>
      <w:autoSpaceDN w:val="0"/>
      <w:adjustRightInd w:val="0"/>
      <w:spacing w:after="0" w:line="240" w:lineRule="auto"/>
    </w:pPr>
    <w:rPr>
      <w:rFonts w:ascii="Times New Roman" w:hAnsi="Times New Roman" w:cs="Times New Roman"/>
      <w:color w:val="000000"/>
      <w:sz w:val="24"/>
      <w:szCs w:val="24"/>
    </w:rPr>
  </w:style>
  <w:style w:type="paragraph" w:styleId="Paragrafoelenco">
    <w:name w:val="List Paragraph"/>
    <w:basedOn w:val="Normale"/>
    <w:uiPriority w:val="34"/>
    <w:qFormat/>
    <w:rsid w:val="00B7534A"/>
    <w:pPr>
      <w:ind w:left="720"/>
      <w:contextualSpacing/>
    </w:pPr>
  </w:style>
  <w:style w:type="character" w:customStyle="1" w:styleId="Titolo3Carattere">
    <w:name w:val="Titolo 3 Carattere"/>
    <w:basedOn w:val="Carpredefinitoparagrafo"/>
    <w:link w:val="Titolo3"/>
    <w:uiPriority w:val="9"/>
    <w:semiHidden/>
    <w:rsid w:val="00B7534A"/>
    <w:rPr>
      <w:rFonts w:asciiTheme="majorHAnsi" w:eastAsiaTheme="majorEastAsia" w:hAnsiTheme="majorHAnsi" w:cstheme="majorBidi"/>
      <w:b/>
      <w:bCs/>
      <w:color w:val="4F81BD" w:themeColor="accent1"/>
    </w:rPr>
  </w:style>
  <w:style w:type="character" w:customStyle="1" w:styleId="mw-headline">
    <w:name w:val="mw-headline"/>
    <w:basedOn w:val="Carpredefinitoparagrafo"/>
    <w:rsid w:val="00B7534A"/>
  </w:style>
  <w:style w:type="character" w:customStyle="1" w:styleId="editsection">
    <w:name w:val="editsection"/>
    <w:basedOn w:val="Carpredefinitoparagrafo"/>
    <w:rsid w:val="00B7534A"/>
  </w:style>
</w:styles>
</file>

<file path=word/webSettings.xml><?xml version="1.0" encoding="utf-8"?>
<w:webSettings xmlns:r="http://schemas.openxmlformats.org/officeDocument/2006/relationships" xmlns:w="http://schemas.openxmlformats.org/wordprocessingml/2006/main">
  <w:divs>
    <w:div w:id="209340856">
      <w:bodyDiv w:val="1"/>
      <w:marLeft w:val="0"/>
      <w:marRight w:val="0"/>
      <w:marTop w:val="0"/>
      <w:marBottom w:val="0"/>
      <w:divBdr>
        <w:top w:val="none" w:sz="0" w:space="0" w:color="auto"/>
        <w:left w:val="none" w:sz="0" w:space="0" w:color="auto"/>
        <w:bottom w:val="none" w:sz="0" w:space="0" w:color="auto"/>
        <w:right w:val="none" w:sz="0" w:space="0" w:color="auto"/>
      </w:divBdr>
      <w:divsChild>
        <w:div w:id="661853316">
          <w:marLeft w:val="0"/>
          <w:marRight w:val="0"/>
          <w:marTop w:val="0"/>
          <w:marBottom w:val="0"/>
          <w:divBdr>
            <w:top w:val="none" w:sz="0" w:space="0" w:color="auto"/>
            <w:left w:val="none" w:sz="0" w:space="0" w:color="auto"/>
            <w:bottom w:val="none" w:sz="0" w:space="0" w:color="auto"/>
            <w:right w:val="none" w:sz="0" w:space="0" w:color="auto"/>
          </w:divBdr>
          <w:divsChild>
            <w:div w:id="2101564042">
              <w:marLeft w:val="0"/>
              <w:marRight w:val="0"/>
              <w:marTop w:val="0"/>
              <w:marBottom w:val="0"/>
              <w:divBdr>
                <w:top w:val="none" w:sz="0" w:space="0" w:color="auto"/>
                <w:left w:val="none" w:sz="0" w:space="0" w:color="auto"/>
                <w:bottom w:val="none" w:sz="0" w:space="0" w:color="auto"/>
                <w:right w:val="none" w:sz="0" w:space="0" w:color="auto"/>
              </w:divBdr>
              <w:divsChild>
                <w:div w:id="492989247">
                  <w:marLeft w:val="0"/>
                  <w:marRight w:val="0"/>
                  <w:marTop w:val="0"/>
                  <w:marBottom w:val="0"/>
                  <w:divBdr>
                    <w:top w:val="none" w:sz="0" w:space="0" w:color="auto"/>
                    <w:left w:val="none" w:sz="0" w:space="0" w:color="auto"/>
                    <w:bottom w:val="none" w:sz="0" w:space="0" w:color="auto"/>
                    <w:right w:val="none" w:sz="0" w:space="0" w:color="auto"/>
                  </w:divBdr>
                  <w:divsChild>
                    <w:div w:id="496918385">
                      <w:marLeft w:val="0"/>
                      <w:marRight w:val="0"/>
                      <w:marTop w:val="0"/>
                      <w:marBottom w:val="0"/>
                      <w:divBdr>
                        <w:top w:val="none" w:sz="0" w:space="0" w:color="auto"/>
                        <w:left w:val="none" w:sz="0" w:space="0" w:color="auto"/>
                        <w:bottom w:val="none" w:sz="0" w:space="0" w:color="auto"/>
                        <w:right w:val="none" w:sz="0" w:space="0" w:color="auto"/>
                      </w:divBdr>
                      <w:divsChild>
                        <w:div w:id="1378897456">
                          <w:marLeft w:val="0"/>
                          <w:marRight w:val="0"/>
                          <w:marTop w:val="0"/>
                          <w:marBottom w:val="0"/>
                          <w:divBdr>
                            <w:top w:val="none" w:sz="0" w:space="0" w:color="auto"/>
                            <w:left w:val="none" w:sz="0" w:space="0" w:color="auto"/>
                            <w:bottom w:val="none" w:sz="0" w:space="0" w:color="auto"/>
                            <w:right w:val="none" w:sz="0" w:space="0" w:color="auto"/>
                          </w:divBdr>
                          <w:divsChild>
                            <w:div w:id="91123118">
                              <w:marLeft w:val="0"/>
                              <w:marRight w:val="0"/>
                              <w:marTop w:val="0"/>
                              <w:marBottom w:val="0"/>
                              <w:divBdr>
                                <w:top w:val="none" w:sz="0" w:space="0" w:color="auto"/>
                                <w:left w:val="none" w:sz="0" w:space="0" w:color="auto"/>
                                <w:bottom w:val="none" w:sz="0" w:space="0" w:color="auto"/>
                                <w:right w:val="none" w:sz="0" w:space="0" w:color="auto"/>
                              </w:divBdr>
                              <w:divsChild>
                                <w:div w:id="704332231">
                                  <w:marLeft w:val="0"/>
                                  <w:marRight w:val="0"/>
                                  <w:marTop w:val="0"/>
                                  <w:marBottom w:val="0"/>
                                  <w:divBdr>
                                    <w:top w:val="none" w:sz="0" w:space="0" w:color="auto"/>
                                    <w:left w:val="none" w:sz="0" w:space="0" w:color="auto"/>
                                    <w:bottom w:val="none" w:sz="0" w:space="0" w:color="auto"/>
                                    <w:right w:val="none" w:sz="0" w:space="0" w:color="auto"/>
                                  </w:divBdr>
                                  <w:divsChild>
                                    <w:div w:id="2087921325">
                                      <w:marLeft w:val="0"/>
                                      <w:marRight w:val="0"/>
                                      <w:marTop w:val="0"/>
                                      <w:marBottom w:val="0"/>
                                      <w:divBdr>
                                        <w:top w:val="none" w:sz="0" w:space="0" w:color="auto"/>
                                        <w:left w:val="none" w:sz="0" w:space="0" w:color="auto"/>
                                        <w:bottom w:val="none" w:sz="0" w:space="0" w:color="auto"/>
                                        <w:right w:val="none" w:sz="0" w:space="0" w:color="auto"/>
                                      </w:divBdr>
                                    </w:div>
                                    <w:div w:id="1271426993">
                                      <w:marLeft w:val="0"/>
                                      <w:marRight w:val="0"/>
                                      <w:marTop w:val="0"/>
                                      <w:marBottom w:val="0"/>
                                      <w:divBdr>
                                        <w:top w:val="none" w:sz="0" w:space="0" w:color="auto"/>
                                        <w:left w:val="none" w:sz="0" w:space="0" w:color="auto"/>
                                        <w:bottom w:val="none" w:sz="0" w:space="0" w:color="auto"/>
                                        <w:right w:val="none" w:sz="0" w:space="0" w:color="auto"/>
                                      </w:divBdr>
                                    </w:div>
                                    <w:div w:id="2143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441862">
      <w:bodyDiv w:val="1"/>
      <w:marLeft w:val="0"/>
      <w:marRight w:val="0"/>
      <w:marTop w:val="0"/>
      <w:marBottom w:val="0"/>
      <w:divBdr>
        <w:top w:val="none" w:sz="0" w:space="0" w:color="auto"/>
        <w:left w:val="none" w:sz="0" w:space="0" w:color="auto"/>
        <w:bottom w:val="none" w:sz="0" w:space="0" w:color="auto"/>
        <w:right w:val="none" w:sz="0" w:space="0" w:color="auto"/>
      </w:divBdr>
      <w:divsChild>
        <w:div w:id="767850360">
          <w:marLeft w:val="0"/>
          <w:marRight w:val="0"/>
          <w:marTop w:val="0"/>
          <w:marBottom w:val="0"/>
          <w:divBdr>
            <w:top w:val="none" w:sz="0" w:space="0" w:color="auto"/>
            <w:left w:val="none" w:sz="0" w:space="0" w:color="auto"/>
            <w:bottom w:val="none" w:sz="0" w:space="0" w:color="auto"/>
            <w:right w:val="none" w:sz="0" w:space="0" w:color="auto"/>
          </w:divBdr>
          <w:divsChild>
            <w:div w:id="51966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49080">
      <w:bodyDiv w:val="1"/>
      <w:marLeft w:val="0"/>
      <w:marRight w:val="0"/>
      <w:marTop w:val="0"/>
      <w:marBottom w:val="0"/>
      <w:divBdr>
        <w:top w:val="none" w:sz="0" w:space="0" w:color="auto"/>
        <w:left w:val="none" w:sz="0" w:space="0" w:color="auto"/>
        <w:bottom w:val="none" w:sz="0" w:space="0" w:color="auto"/>
        <w:right w:val="none" w:sz="0" w:space="0" w:color="auto"/>
      </w:divBdr>
      <w:divsChild>
        <w:div w:id="1470442375">
          <w:marLeft w:val="0"/>
          <w:marRight w:val="0"/>
          <w:marTop w:val="0"/>
          <w:marBottom w:val="0"/>
          <w:divBdr>
            <w:top w:val="none" w:sz="0" w:space="0" w:color="auto"/>
            <w:left w:val="none" w:sz="0" w:space="0" w:color="auto"/>
            <w:bottom w:val="none" w:sz="0" w:space="0" w:color="auto"/>
            <w:right w:val="none" w:sz="0" w:space="0" w:color="auto"/>
          </w:divBdr>
          <w:divsChild>
            <w:div w:id="1441602454">
              <w:marLeft w:val="0"/>
              <w:marRight w:val="0"/>
              <w:marTop w:val="0"/>
              <w:marBottom w:val="0"/>
              <w:divBdr>
                <w:top w:val="none" w:sz="0" w:space="0" w:color="auto"/>
                <w:left w:val="none" w:sz="0" w:space="0" w:color="auto"/>
                <w:bottom w:val="none" w:sz="0" w:space="0" w:color="auto"/>
                <w:right w:val="none" w:sz="0" w:space="0" w:color="auto"/>
              </w:divBdr>
              <w:divsChild>
                <w:div w:id="1643189355">
                  <w:marLeft w:val="0"/>
                  <w:marRight w:val="0"/>
                  <w:marTop w:val="0"/>
                  <w:marBottom w:val="0"/>
                  <w:divBdr>
                    <w:top w:val="none" w:sz="0" w:space="0" w:color="auto"/>
                    <w:left w:val="none" w:sz="0" w:space="0" w:color="auto"/>
                    <w:bottom w:val="none" w:sz="0" w:space="0" w:color="auto"/>
                    <w:right w:val="none" w:sz="0" w:space="0" w:color="auto"/>
                  </w:divBdr>
                  <w:divsChild>
                    <w:div w:id="2029060359">
                      <w:marLeft w:val="0"/>
                      <w:marRight w:val="0"/>
                      <w:marTop w:val="0"/>
                      <w:marBottom w:val="0"/>
                      <w:divBdr>
                        <w:top w:val="none" w:sz="0" w:space="0" w:color="auto"/>
                        <w:left w:val="none" w:sz="0" w:space="0" w:color="auto"/>
                        <w:bottom w:val="none" w:sz="0" w:space="0" w:color="auto"/>
                        <w:right w:val="none" w:sz="0" w:space="0" w:color="auto"/>
                      </w:divBdr>
                      <w:divsChild>
                        <w:div w:id="11449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117" Type="http://schemas.openxmlformats.org/officeDocument/2006/relationships/fontTable" Target="fontTable.xml"/><Relationship Id="rId21" Type="http://schemas.openxmlformats.org/officeDocument/2006/relationships/hyperlink" Target="http://it.wikipedia.org/wiki/Paniere" TargetMode="External"/><Relationship Id="rId42" Type="http://schemas.openxmlformats.org/officeDocument/2006/relationships/hyperlink" Target="http://it.wikipedia.org/w/index.php?title=Disinflazione&amp;action=edit&amp;redlink=1" TargetMode="External"/><Relationship Id="rId47" Type="http://schemas.openxmlformats.org/officeDocument/2006/relationships/hyperlink" Target="http://it.wikipedia.org/wiki/Germania" TargetMode="External"/><Relationship Id="rId63" Type="http://schemas.openxmlformats.org/officeDocument/2006/relationships/hyperlink" Target="http://it.wikipedia.org/wiki/Economia_di_mercato" TargetMode="External"/><Relationship Id="rId68" Type="http://schemas.openxmlformats.org/officeDocument/2006/relationships/hyperlink" Target="http://it.wikipedia.org/wiki/Domanda_aggregata" TargetMode="External"/><Relationship Id="rId84" Type="http://schemas.openxmlformats.org/officeDocument/2006/relationships/hyperlink" Target="http://it.wikipedia.org/wiki/Inflazione" TargetMode="External"/><Relationship Id="rId89" Type="http://schemas.openxmlformats.org/officeDocument/2006/relationships/hyperlink" Target="http://it.wikipedia.org/wiki/Germania" TargetMode="External"/><Relationship Id="rId112" Type="http://schemas.openxmlformats.org/officeDocument/2006/relationships/hyperlink" Target="http://it.wikipedia.org/wiki/Potere_di_acquisto" TargetMode="External"/><Relationship Id="rId16" Type="http://schemas.openxmlformats.org/officeDocument/2006/relationships/hyperlink" Target="http://www.repubblica.it/2007/10/sezioni/economia/istat-stipendi/istat-stipendi/istat-stipendi.html" TargetMode="External"/><Relationship Id="rId107" Type="http://schemas.openxmlformats.org/officeDocument/2006/relationships/hyperlink" Target="http://it.wikipedia.org/wiki/Debito_pubblico" TargetMode="External"/><Relationship Id="rId11" Type="http://schemas.openxmlformats.org/officeDocument/2006/relationships/image" Target="media/image4.wmf"/><Relationship Id="rId24" Type="http://schemas.openxmlformats.org/officeDocument/2006/relationships/image" Target="media/image7.png"/><Relationship Id="rId32" Type="http://schemas.openxmlformats.org/officeDocument/2006/relationships/hyperlink" Target="http://it.wikipedia.org/wiki/1999" TargetMode="External"/><Relationship Id="rId37" Type="http://schemas.openxmlformats.org/officeDocument/2006/relationships/image" Target="media/image13.png"/><Relationship Id="rId40" Type="http://schemas.openxmlformats.org/officeDocument/2006/relationships/hyperlink" Target="http://it.wikipedia.org/wiki/Macroeconomia" TargetMode="External"/><Relationship Id="rId45" Type="http://schemas.openxmlformats.org/officeDocument/2006/relationships/hyperlink" Target="http://it.wikipedia.org/wiki/Giappone" TargetMode="External"/><Relationship Id="rId53" Type="http://schemas.openxmlformats.org/officeDocument/2006/relationships/hyperlink" Target="http://it.wikipedia.org/wiki/Economia" TargetMode="External"/><Relationship Id="rId58" Type="http://schemas.openxmlformats.org/officeDocument/2006/relationships/hyperlink" Target="http://it.wikipedia.org/wiki/Teoria_generale_dell%27occupazione,_dell%27interesse_e_della_moneta" TargetMode="External"/><Relationship Id="rId66" Type="http://schemas.openxmlformats.org/officeDocument/2006/relationships/hyperlink" Target="http://it.wikipedia.org/wiki/1976" TargetMode="External"/><Relationship Id="rId74" Type="http://schemas.openxmlformats.org/officeDocument/2006/relationships/hyperlink" Target="http://it.wikipedia.org/wiki/Efficienza" TargetMode="External"/><Relationship Id="rId79" Type="http://schemas.openxmlformats.org/officeDocument/2006/relationships/hyperlink" Target="http://it.wikipedia.org/wiki/Cartello" TargetMode="External"/><Relationship Id="rId87" Type="http://schemas.openxmlformats.org/officeDocument/2006/relationships/hyperlink" Target="http://it.wikipedia.org/wiki/Sud_America" TargetMode="External"/><Relationship Id="rId102" Type="http://schemas.openxmlformats.org/officeDocument/2006/relationships/hyperlink" Target="http://it.wikipedia.org/wiki/Banca" TargetMode="External"/><Relationship Id="rId110" Type="http://schemas.openxmlformats.org/officeDocument/2006/relationships/hyperlink" Target="http://it.wikipedia.org/w/index.php?title=Spirale_prezzi-salari&amp;action=edit&amp;redlink=1" TargetMode="External"/><Relationship Id="rId115" Type="http://schemas.openxmlformats.org/officeDocument/2006/relationships/hyperlink" Target="http://it.wikipedia.org/wiki/Prodotto_interno_lordo" TargetMode="External"/><Relationship Id="rId5" Type="http://schemas.openxmlformats.org/officeDocument/2006/relationships/image" Target="media/image1.wmf"/><Relationship Id="rId61" Type="http://schemas.openxmlformats.org/officeDocument/2006/relationships/hyperlink" Target="http://it.wikipedia.org/wiki/Sistema_economico" TargetMode="External"/><Relationship Id="rId82" Type="http://schemas.openxmlformats.org/officeDocument/2006/relationships/hyperlink" Target="http://it.wikipedia.org/wiki/Iperinflazione" TargetMode="External"/><Relationship Id="rId90" Type="http://schemas.openxmlformats.org/officeDocument/2006/relationships/hyperlink" Target="http://it.wikipedia.org/wiki/Anni_1920" TargetMode="External"/><Relationship Id="rId95" Type="http://schemas.openxmlformats.org/officeDocument/2006/relationships/hyperlink" Target="http://it.wikipedia.org/wiki/Rublo" TargetMode="External"/><Relationship Id="rId19" Type="http://schemas.openxmlformats.org/officeDocument/2006/relationships/hyperlink" Target="http://www.repubblica.it/2008/01/sezioni/economia/conti-pubblici-66/bollettino-bankitalia/bollettino-bankitalia.html" TargetMode="External"/><Relationship Id="rId14" Type="http://schemas.openxmlformats.org/officeDocument/2006/relationships/oleObject" Target="embeddings/oleObject5.bin"/><Relationship Id="rId22" Type="http://schemas.openxmlformats.org/officeDocument/2006/relationships/hyperlink" Target="http://it.wikipedia.org/wiki/Consumo" TargetMode="External"/><Relationship Id="rId27" Type="http://schemas.openxmlformats.org/officeDocument/2006/relationships/hyperlink" Target="http://it.wikipedia.org/wiki/Indice_di_Laspeyres" TargetMode="External"/><Relationship Id="rId30" Type="http://schemas.openxmlformats.org/officeDocument/2006/relationships/hyperlink" Target="http://it.wikipedia.org/wiki/1998" TargetMode="External"/><Relationship Id="rId35" Type="http://schemas.openxmlformats.org/officeDocument/2006/relationships/image" Target="media/image11.png"/><Relationship Id="rId43" Type="http://schemas.openxmlformats.org/officeDocument/2006/relationships/hyperlink" Target="http://it.wikipedia.org/wiki/Tesaurizzazione" TargetMode="External"/><Relationship Id="rId48" Type="http://schemas.openxmlformats.org/officeDocument/2006/relationships/hyperlink" Target="http://it.wikipedia.org/w/index.php?title=Ufficio_Statistico_Federale&amp;action=edit&amp;redlink=1" TargetMode="External"/><Relationship Id="rId56" Type="http://schemas.openxmlformats.org/officeDocument/2006/relationships/hyperlink" Target="http://it.wikipedia.org/wiki/Stagnazione" TargetMode="External"/><Relationship Id="rId64" Type="http://schemas.openxmlformats.org/officeDocument/2006/relationships/hyperlink" Target="http://it.wikipedia.org/wiki/Milton_Friedman" TargetMode="External"/><Relationship Id="rId69" Type="http://schemas.openxmlformats.org/officeDocument/2006/relationships/hyperlink" Target="http://it.wikipedia.org/w/index.php?title=Pieno_impiego&amp;action=edit&amp;redlink=1" TargetMode="External"/><Relationship Id="rId77" Type="http://schemas.openxmlformats.org/officeDocument/2006/relationships/hyperlink" Target="http://it.wikipedia.org/wiki/Lavoro_(economia)" TargetMode="External"/><Relationship Id="rId100" Type="http://schemas.openxmlformats.org/officeDocument/2006/relationships/hyperlink" Target="http://it.wikipedia.org/w/index.php?title=Iperinflazione&amp;action=edit&amp;section=2" TargetMode="External"/><Relationship Id="rId105" Type="http://schemas.openxmlformats.org/officeDocument/2006/relationships/hyperlink" Target="http://it.wikipedia.org/wiki/Moneta" TargetMode="External"/><Relationship Id="rId113" Type="http://schemas.openxmlformats.org/officeDocument/2006/relationships/hyperlink" Target="http://it.wikipedia.org/wiki/Velocit%C3%A0_di_circolazione_della_moneta" TargetMode="External"/><Relationship Id="rId118" Type="http://schemas.openxmlformats.org/officeDocument/2006/relationships/theme" Target="theme/theme1.xml"/><Relationship Id="rId8" Type="http://schemas.openxmlformats.org/officeDocument/2006/relationships/oleObject" Target="embeddings/oleObject2.bin"/><Relationship Id="rId51" Type="http://schemas.openxmlformats.org/officeDocument/2006/relationships/hyperlink" Target="http://it.wikipedia.org/wiki/Stagflazione" TargetMode="External"/><Relationship Id="rId72" Type="http://schemas.openxmlformats.org/officeDocument/2006/relationships/hyperlink" Target="http://it.wikipedia.org/wiki/Valore_nominale" TargetMode="External"/><Relationship Id="rId80" Type="http://schemas.openxmlformats.org/officeDocument/2006/relationships/hyperlink" Target="http://it.wikipedia.org/wiki/Materia_prima" TargetMode="External"/><Relationship Id="rId85" Type="http://schemas.openxmlformats.org/officeDocument/2006/relationships/hyperlink" Target="http://it.wikipedia.org/wiki/Moneta" TargetMode="External"/><Relationship Id="rId93" Type="http://schemas.openxmlformats.org/officeDocument/2006/relationships/hyperlink" Target="http://it.wikipedia.org/wiki/Boris_Eltsin" TargetMode="External"/><Relationship Id="rId98" Type="http://schemas.openxmlformats.org/officeDocument/2006/relationships/hyperlink" Target="http://it.wikipedia.org/wiki/2008" TargetMode="External"/><Relationship Id="rId3" Type="http://schemas.openxmlformats.org/officeDocument/2006/relationships/settings" Target="settings.xml"/><Relationship Id="rId12" Type="http://schemas.openxmlformats.org/officeDocument/2006/relationships/oleObject" Target="embeddings/oleObject4.bin"/><Relationship Id="rId17" Type="http://schemas.openxmlformats.org/officeDocument/2006/relationships/hyperlink" Target="http://www.ilsole24ore.com/art/SoleOnLine4/Speciali/2005/Documenti%20economia/mdg_prezzi_consumo_mensile.shtml?uuid=bfc3a0f2-33fc-11da-84d8-00000e25108c" TargetMode="External"/><Relationship Id="rId25" Type="http://schemas.openxmlformats.org/officeDocument/2006/relationships/image" Target="media/image8.png"/><Relationship Id="rId33" Type="http://schemas.openxmlformats.org/officeDocument/2006/relationships/hyperlink" Target="http://it.wikipedia.org/wiki/Indice_a_catena" TargetMode="External"/><Relationship Id="rId38" Type="http://schemas.openxmlformats.org/officeDocument/2006/relationships/hyperlink" Target="http://it.wikipedia.org/wiki/Inflazione" TargetMode="External"/><Relationship Id="rId46" Type="http://schemas.openxmlformats.org/officeDocument/2006/relationships/hyperlink" Target="http://it.wikipedia.org/wiki/Liquidit%C3%A0" TargetMode="External"/><Relationship Id="rId59" Type="http://schemas.openxmlformats.org/officeDocument/2006/relationships/hyperlink" Target="http://it.wikipedia.org/wiki/John_Maynard_Keynes" TargetMode="External"/><Relationship Id="rId67" Type="http://schemas.openxmlformats.org/officeDocument/2006/relationships/hyperlink" Target="http://it.wikipedia.org/wiki/Disoccupazione" TargetMode="External"/><Relationship Id="rId103" Type="http://schemas.openxmlformats.org/officeDocument/2006/relationships/hyperlink" Target="http://it.wikipedia.org/wiki/Bank_run" TargetMode="External"/><Relationship Id="rId108" Type="http://schemas.openxmlformats.org/officeDocument/2006/relationships/hyperlink" Target="http://it.wikipedia.org/wiki/Guerra" TargetMode="External"/><Relationship Id="rId116" Type="http://schemas.openxmlformats.org/officeDocument/2006/relationships/hyperlink" Target="http://it.wikipedia.org/wiki/Disoccupazione" TargetMode="External"/><Relationship Id="rId20" Type="http://schemas.openxmlformats.org/officeDocument/2006/relationships/hyperlink" Target="http://www.mises.org/product.asp?sku=B053" TargetMode="External"/><Relationship Id="rId41" Type="http://schemas.openxmlformats.org/officeDocument/2006/relationships/hyperlink" Target="http://it.wikipedia.org/wiki/Inflazione" TargetMode="External"/><Relationship Id="rId54" Type="http://schemas.openxmlformats.org/officeDocument/2006/relationships/hyperlink" Target="http://it.wikipedia.org/wiki/Mercato" TargetMode="External"/><Relationship Id="rId62" Type="http://schemas.openxmlformats.org/officeDocument/2006/relationships/hyperlink" Target="http://it.wikipedia.org/wiki/Politica_economica" TargetMode="External"/><Relationship Id="rId70" Type="http://schemas.openxmlformats.org/officeDocument/2006/relationships/hyperlink" Target="http://it.wikipedia.org/wiki/Prezzo" TargetMode="External"/><Relationship Id="rId75" Type="http://schemas.openxmlformats.org/officeDocument/2006/relationships/hyperlink" Target="http://it.wikipedia.org/wiki/Bene" TargetMode="External"/><Relationship Id="rId83" Type="http://schemas.openxmlformats.org/officeDocument/2006/relationships/hyperlink" Target="http://it.wikipedia.org/wiki/Iperinflazione" TargetMode="External"/><Relationship Id="rId88" Type="http://schemas.openxmlformats.org/officeDocument/2006/relationships/hyperlink" Target="http://it.wikipedia.org/wiki/Anni_1990" TargetMode="External"/><Relationship Id="rId91" Type="http://schemas.openxmlformats.org/officeDocument/2006/relationships/hyperlink" Target="http://it.wikipedia.org/wiki/Repubblica_di_Weimar" TargetMode="External"/><Relationship Id="rId96" Type="http://schemas.openxmlformats.org/officeDocument/2006/relationships/hyperlink" Target="http://it.wikipedia.org/wiki/Zimbabwe" TargetMode="External"/><Relationship Id="rId111" Type="http://schemas.openxmlformats.org/officeDocument/2006/relationships/hyperlink" Target="http://it.wikipedia.org/wiki/Baratto" TargetMode="External"/><Relationship Id="rId1" Type="http://schemas.openxmlformats.org/officeDocument/2006/relationships/numbering" Target="numbering.xml"/><Relationship Id="rId6" Type="http://schemas.openxmlformats.org/officeDocument/2006/relationships/oleObject" Target="embeddings/oleObject1.bin"/><Relationship Id="rId15" Type="http://schemas.openxmlformats.org/officeDocument/2006/relationships/hyperlink" Target="http://it.wikipedia.org/wiki/Inflazione" TargetMode="External"/><Relationship Id="rId23" Type="http://schemas.openxmlformats.org/officeDocument/2006/relationships/image" Target="media/image6.png"/><Relationship Id="rId28" Type="http://schemas.openxmlformats.org/officeDocument/2006/relationships/hyperlink" Target="http://it.wikipedia.org/wiki/Tasso_d%27inflazione" TargetMode="External"/><Relationship Id="rId36" Type="http://schemas.openxmlformats.org/officeDocument/2006/relationships/image" Target="media/image12.png"/><Relationship Id="rId49" Type="http://schemas.openxmlformats.org/officeDocument/2006/relationships/hyperlink" Target="http://it.wikipedia.org/wiki/Stagnazione" TargetMode="External"/><Relationship Id="rId57" Type="http://schemas.openxmlformats.org/officeDocument/2006/relationships/hyperlink" Target="http://it.wikipedia.org/wiki/Anni_1960" TargetMode="External"/><Relationship Id="rId106" Type="http://schemas.openxmlformats.org/officeDocument/2006/relationships/hyperlink" Target="http://it.wikipedia.org/wiki/Imposte" TargetMode="External"/><Relationship Id="rId114" Type="http://schemas.openxmlformats.org/officeDocument/2006/relationships/hyperlink" Target="http://it.wikipedia.org/wiki/Investimenti" TargetMode="External"/><Relationship Id="rId10" Type="http://schemas.openxmlformats.org/officeDocument/2006/relationships/oleObject" Target="embeddings/oleObject3.bin"/><Relationship Id="rId31" Type="http://schemas.openxmlformats.org/officeDocument/2006/relationships/hyperlink" Target="http://it.wikipedia.org/wiki/Numero_indice" TargetMode="External"/><Relationship Id="rId44" Type="http://schemas.openxmlformats.org/officeDocument/2006/relationships/hyperlink" Target="http://it.wikipedia.org/wiki/Potere_d%27acquisto" TargetMode="External"/><Relationship Id="rId52" Type="http://schemas.openxmlformats.org/officeDocument/2006/relationships/hyperlink" Target="http://it.wikipedia.org/wiki/Stagflazione" TargetMode="External"/><Relationship Id="rId60" Type="http://schemas.openxmlformats.org/officeDocument/2006/relationships/hyperlink" Target="http://it.wikipedia.org/w/index.php?title=Teoria_post-keynesiana&amp;action=edit&amp;redlink=1" TargetMode="External"/><Relationship Id="rId65" Type="http://schemas.openxmlformats.org/officeDocument/2006/relationships/hyperlink" Target="http://it.wikipedia.org/wiki/Premio_Nobel" TargetMode="External"/><Relationship Id="rId73" Type="http://schemas.openxmlformats.org/officeDocument/2006/relationships/hyperlink" Target="http://it.wikipedia.org/wiki/Recessione" TargetMode="External"/><Relationship Id="rId78" Type="http://schemas.openxmlformats.org/officeDocument/2006/relationships/hyperlink" Target="http://it.wikipedia.org/wiki/Salario" TargetMode="External"/><Relationship Id="rId81" Type="http://schemas.openxmlformats.org/officeDocument/2006/relationships/hyperlink" Target="http://it.wikipedia.org/wiki/Economista" TargetMode="External"/><Relationship Id="rId86" Type="http://schemas.openxmlformats.org/officeDocument/2006/relationships/hyperlink" Target="http://it.wikipedia.org/w/index.php?title=Iperinflazione&amp;action=edit&amp;section=1" TargetMode="External"/><Relationship Id="rId94" Type="http://schemas.openxmlformats.org/officeDocument/2006/relationships/hyperlink" Target="http://it.wikipedia.org/wiki/Svalutazione" TargetMode="External"/><Relationship Id="rId99" Type="http://schemas.openxmlformats.org/officeDocument/2006/relationships/hyperlink" Target="http://it.wikipedia.org/wiki/2008" TargetMode="External"/><Relationship Id="rId101" Type="http://schemas.openxmlformats.org/officeDocument/2006/relationships/hyperlink" Target="http://it.wikipedia.org/wiki/Banca_centrale" TargetMode="Externa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hyperlink" Target="http://www.unita.it/view.asp?IDcontent=71658" TargetMode="External"/><Relationship Id="rId39" Type="http://schemas.openxmlformats.org/officeDocument/2006/relationships/hyperlink" Target="http://it.wikipedia.org/wiki/Inflazione" TargetMode="External"/><Relationship Id="rId109" Type="http://schemas.openxmlformats.org/officeDocument/2006/relationships/hyperlink" Target="http://it.wikipedia.org/wiki/Ordine_di_grandezza" TargetMode="External"/><Relationship Id="rId34" Type="http://schemas.openxmlformats.org/officeDocument/2006/relationships/image" Target="media/image10.png"/><Relationship Id="rId50" Type="http://schemas.openxmlformats.org/officeDocument/2006/relationships/hyperlink" Target="http://it.wikipedia.org/wiki/Recessione" TargetMode="External"/><Relationship Id="rId55" Type="http://schemas.openxmlformats.org/officeDocument/2006/relationships/hyperlink" Target="http://it.wikipedia.org/wiki/Inflazione" TargetMode="External"/><Relationship Id="rId76" Type="http://schemas.openxmlformats.org/officeDocument/2006/relationships/hyperlink" Target="http://it.wikipedia.org/wiki/Monopolio" TargetMode="External"/><Relationship Id="rId97" Type="http://schemas.openxmlformats.org/officeDocument/2006/relationships/hyperlink" Target="http://it.wikipedia.org/wiki/2007" TargetMode="External"/><Relationship Id="rId104" Type="http://schemas.openxmlformats.org/officeDocument/2006/relationships/hyperlink" Target="http://it.wikipedia.org/wiki/Spesa_pubblica" TargetMode="External"/><Relationship Id="rId7" Type="http://schemas.openxmlformats.org/officeDocument/2006/relationships/image" Target="media/image2.wmf"/><Relationship Id="rId71" Type="http://schemas.openxmlformats.org/officeDocument/2006/relationships/hyperlink" Target="http://it.wikipedia.org/wiki/Prodotto_interno_lordo" TargetMode="External"/><Relationship Id="rId92" Type="http://schemas.openxmlformats.org/officeDocument/2006/relationships/hyperlink" Target="http://it.wikipedia.org/wiki/Russia" TargetMode="External"/><Relationship Id="rId2" Type="http://schemas.openxmlformats.org/officeDocument/2006/relationships/styles" Target="styles.xml"/><Relationship Id="rId29" Type="http://schemas.openxmlformats.org/officeDocument/2006/relationships/hyperlink" Target="http://it.wikipedia.org/wiki/Tasso_di_crescit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7647</Words>
  <Characters>43591</Characters>
  <Application>Microsoft Office Word</Application>
  <DocSecurity>0</DocSecurity>
  <Lines>363</Lines>
  <Paragraphs>102</Paragraphs>
  <ScaleCrop>false</ScaleCrop>
  <HeadingPairs>
    <vt:vector size="2" baseType="variant">
      <vt:variant>
        <vt:lpstr>Titolo</vt:lpstr>
      </vt:variant>
      <vt:variant>
        <vt:i4>1</vt:i4>
      </vt:variant>
    </vt:vector>
  </HeadingPairs>
  <TitlesOfParts>
    <vt:vector size="1" baseType="lpstr">
      <vt:lpstr/>
    </vt:vector>
  </TitlesOfParts>
  <Company>utente</Company>
  <LinksUpToDate>false</LinksUpToDate>
  <CharactersWithSpaces>51136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cp:lastPrinted>2010-04-18T20:31:00Z</cp:lastPrinted>
  <dcterms:created xsi:type="dcterms:W3CDTF">2010-04-19T16:58:00Z</dcterms:created>
  <dcterms:modified xsi:type="dcterms:W3CDTF">2010-04-19T17:00:00Z</dcterms:modified>
</cp:coreProperties>
</file>