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84" w:rsidRPr="003D0E77" w:rsidRDefault="00197AD5" w:rsidP="00F6609E">
      <w:pPr>
        <w:jc w:val="center"/>
        <w:rPr>
          <w:rFonts w:ascii="Comic Sans MS" w:hAnsi="Comic Sans MS"/>
          <w:b/>
          <w:bCs/>
          <w:color w:val="800000"/>
          <w:sz w:val="28"/>
          <w:szCs w:val="28"/>
        </w:rPr>
      </w:pPr>
      <w:r w:rsidRPr="003D0E77">
        <w:rPr>
          <w:rFonts w:ascii="Comic Sans MS" w:hAnsi="Comic Sans MS"/>
          <w:b/>
          <w:bCs/>
          <w:color w:val="800000"/>
          <w:sz w:val="28"/>
          <w:szCs w:val="28"/>
        </w:rPr>
        <w:t>Programma Economia Aziendale</w:t>
      </w:r>
    </w:p>
    <w:p w:rsidR="00C13784" w:rsidRDefault="002A3564" w:rsidP="00F6609E">
      <w:pPr>
        <w:jc w:val="center"/>
        <w:rPr>
          <w:rFonts w:ascii="Comic Sans MS" w:hAnsi="Comic Sans MS"/>
          <w:b/>
          <w:bCs/>
          <w:color w:val="800000"/>
          <w:sz w:val="20"/>
        </w:rPr>
      </w:pPr>
      <w:r>
        <w:rPr>
          <w:rFonts w:ascii="Comic Sans MS" w:hAnsi="Comic Sans MS"/>
          <w:b/>
          <w:bCs/>
          <w:color w:val="800000"/>
          <w:sz w:val="20"/>
        </w:rPr>
        <w:t>Anno Accademico 200</w:t>
      </w:r>
      <w:r w:rsidR="00A2578E">
        <w:rPr>
          <w:rFonts w:ascii="Comic Sans MS" w:hAnsi="Comic Sans MS"/>
          <w:b/>
          <w:bCs/>
          <w:color w:val="800000"/>
          <w:sz w:val="20"/>
        </w:rPr>
        <w:t>9-10</w:t>
      </w:r>
    </w:p>
    <w:p w:rsidR="00197AD5" w:rsidRDefault="003D0E77" w:rsidP="00F6609E">
      <w:pPr>
        <w:jc w:val="center"/>
        <w:rPr>
          <w:rFonts w:ascii="Comic Sans MS" w:hAnsi="Comic Sans MS"/>
          <w:b/>
          <w:bCs/>
          <w:color w:val="800000"/>
          <w:sz w:val="20"/>
        </w:rPr>
      </w:pPr>
      <w:r>
        <w:rPr>
          <w:rFonts w:ascii="Comic Sans MS" w:hAnsi="Comic Sans MS"/>
          <w:b/>
          <w:bCs/>
          <w:color w:val="800000"/>
          <w:sz w:val="20"/>
        </w:rPr>
        <w:t>Prof.ssa Francesca Bartolacci</w:t>
      </w:r>
    </w:p>
    <w:p w:rsidR="00197AD5" w:rsidRDefault="00197AD5" w:rsidP="00F6609E">
      <w:pPr>
        <w:jc w:val="center"/>
        <w:rPr>
          <w:rFonts w:ascii="Comic Sans MS" w:hAnsi="Comic Sans MS"/>
          <w:b/>
          <w:bCs/>
          <w:color w:val="800000"/>
          <w:sz w:val="20"/>
        </w:rPr>
      </w:pPr>
    </w:p>
    <w:p w:rsidR="00197AD5" w:rsidRDefault="00197AD5" w:rsidP="00F6609E">
      <w:pPr>
        <w:jc w:val="both"/>
        <w:rPr>
          <w:rFonts w:ascii="Comic Sans MS" w:hAnsi="Comic Sans MS"/>
          <w:b/>
          <w:bCs/>
          <w:color w:val="800000"/>
          <w:sz w:val="20"/>
        </w:rPr>
      </w:pPr>
    </w:p>
    <w:p w:rsidR="00197AD5" w:rsidRDefault="00197AD5" w:rsidP="00F6609E">
      <w:pPr>
        <w:jc w:val="both"/>
        <w:rPr>
          <w:rFonts w:ascii="Comic Sans MS" w:hAnsi="Comic Sans MS"/>
          <w:color w:val="800000"/>
        </w:rPr>
      </w:pPr>
      <w:r>
        <w:rPr>
          <w:rFonts w:ascii="Comic Sans MS" w:hAnsi="Comic Sans MS"/>
          <w:color w:val="800000"/>
        </w:rPr>
        <w:t>Programma del corso</w:t>
      </w:r>
    </w:p>
    <w:p w:rsidR="00197AD5" w:rsidRDefault="00197AD5" w:rsidP="00F6609E">
      <w:pPr>
        <w:jc w:val="both"/>
        <w:rPr>
          <w:rFonts w:ascii="Comic Sans MS" w:hAnsi="Comic Sans MS"/>
          <w:b/>
          <w:bCs/>
          <w:color w:val="800000"/>
          <w:sz w:val="20"/>
        </w:rPr>
      </w:pPr>
    </w:p>
    <w:p w:rsidR="00197AD5" w:rsidRDefault="00197AD5" w:rsidP="00F6609E">
      <w:pPr>
        <w:pStyle w:val="WW-Corpodeltesto2"/>
        <w:rPr>
          <w:rFonts w:ascii="Comic Sans MS" w:hAnsi="Comic Sans MS"/>
          <w:sz w:val="20"/>
          <w:lang w:eastAsia="it-IT"/>
        </w:rPr>
      </w:pPr>
      <w:r w:rsidRPr="00BB52E1">
        <w:rPr>
          <w:rFonts w:ascii="Comic Sans MS" w:hAnsi="Comic Sans MS"/>
          <w:sz w:val="20"/>
          <w:lang w:eastAsia="it-IT"/>
        </w:rPr>
        <w:t>Durante il corso verranno trattati i seguenti argomenti:</w:t>
      </w:r>
    </w:p>
    <w:p w:rsidR="00197AD5" w:rsidRPr="00BB52E1" w:rsidRDefault="00197AD5" w:rsidP="00F6609E">
      <w:pPr>
        <w:pStyle w:val="WW-Corpodeltesto2"/>
        <w:rPr>
          <w:rFonts w:ascii="Comic Sans MS" w:hAnsi="Comic Sans MS"/>
          <w:sz w:val="20"/>
          <w:lang w:eastAsia="it-IT"/>
        </w:rPr>
      </w:pPr>
    </w:p>
    <w:p w:rsidR="00197AD5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Sistema</w:t>
      </w:r>
      <w:r>
        <w:rPr>
          <w:rFonts w:ascii="Comic Sans MS" w:hAnsi="Comic Sans MS"/>
          <w:sz w:val="20"/>
          <w:szCs w:val="20"/>
        </w:rPr>
        <w:t xml:space="preserve"> aziendale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Mo</w:t>
      </w:r>
      <w:r w:rsidRPr="00BB52E1">
        <w:rPr>
          <w:rFonts w:ascii="Comic Sans MS" w:hAnsi="Comic Sans MS"/>
          <w:sz w:val="20"/>
          <w:szCs w:val="20"/>
        </w:rPr>
        <w:t>dello di analisi delle operazioni aziendali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Finanziamenti: fonti interne/esterne; fasi del processo; finanziamenti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Vendite: analisi di mercato/pianificazione vendite; fasi del processo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Approvvigionamenti/utilizzi materie e servizi: programmazione acquisti; fasi del processo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Acquisizione/utilizzo fattore lavoro: le categorie delle risorse umane; fasi del processo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Acquisizione/utilizzo fattori pluriennali: le categorie delle immobilizzazioni; fasi del processo</w:t>
      </w:r>
    </w:p>
    <w:p w:rsidR="00197AD5" w:rsidRPr="00BB52E1" w:rsidRDefault="00197AD5" w:rsidP="00F6609E">
      <w:pPr>
        <w:numPr>
          <w:ilvl w:val="0"/>
          <w:numId w:val="3"/>
        </w:numPr>
        <w:tabs>
          <w:tab w:val="left" w:pos="175"/>
        </w:tabs>
        <w:ind w:left="175" w:hanging="175"/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Produzione: caratterizzazione nelle diverse tipologie aziendali; gestione e controllo operativi</w:t>
      </w: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  <w:r w:rsidRPr="00BB52E1">
        <w:rPr>
          <w:rFonts w:ascii="Comic Sans MS" w:hAnsi="Comic Sans MS"/>
          <w:sz w:val="20"/>
          <w:szCs w:val="20"/>
        </w:rPr>
        <w:t>Cenni sugli equilibri aziendali: economico, finanziario e patrimoniale</w:t>
      </w: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</w:p>
    <w:p w:rsidR="00197AD5" w:rsidRDefault="00197AD5" w:rsidP="00F6609E">
      <w:pPr>
        <w:jc w:val="both"/>
        <w:rPr>
          <w:rFonts w:ascii="Comic Sans MS" w:hAnsi="Comic Sans MS"/>
          <w:b/>
          <w:bCs/>
          <w:color w:val="800000"/>
          <w:sz w:val="20"/>
        </w:rPr>
      </w:pPr>
    </w:p>
    <w:p w:rsidR="00197AD5" w:rsidRDefault="00197AD5" w:rsidP="00F6609E">
      <w:pPr>
        <w:jc w:val="both"/>
        <w:rPr>
          <w:rFonts w:ascii="Comic Sans MS" w:hAnsi="Comic Sans MS"/>
          <w:b/>
          <w:bCs/>
          <w:color w:val="800000"/>
          <w:sz w:val="20"/>
        </w:rPr>
      </w:pPr>
    </w:p>
    <w:p w:rsidR="00197AD5" w:rsidRDefault="00197AD5" w:rsidP="00F6609E">
      <w:pPr>
        <w:jc w:val="both"/>
        <w:rPr>
          <w:rFonts w:ascii="Comic Sans MS" w:hAnsi="Comic Sans MS"/>
          <w:color w:val="800000"/>
        </w:rPr>
      </w:pPr>
      <w:r>
        <w:rPr>
          <w:rFonts w:ascii="Comic Sans MS" w:hAnsi="Comic Sans MS"/>
          <w:color w:val="800000"/>
        </w:rPr>
        <w:t>Testi consigliati</w:t>
      </w:r>
    </w:p>
    <w:p w:rsidR="00197AD5" w:rsidRDefault="00197AD5" w:rsidP="00F6609E">
      <w:pPr>
        <w:jc w:val="both"/>
        <w:rPr>
          <w:rFonts w:ascii="Comic Sans MS" w:hAnsi="Comic Sans MS"/>
          <w:color w:val="800000"/>
        </w:rPr>
      </w:pPr>
    </w:p>
    <w:p w:rsidR="003D0E77" w:rsidRDefault="00197AD5" w:rsidP="00F6609E">
      <w:pPr>
        <w:jc w:val="both"/>
        <w:rPr>
          <w:rFonts w:ascii="Comic Sans MS" w:hAnsi="Comic Sans MS"/>
          <w:sz w:val="20"/>
          <w:szCs w:val="20"/>
        </w:rPr>
      </w:pPr>
      <w:r w:rsidRPr="00C3124F">
        <w:rPr>
          <w:rFonts w:ascii="Comic Sans MS" w:hAnsi="Comic Sans MS"/>
          <w:sz w:val="20"/>
          <w:szCs w:val="20"/>
        </w:rPr>
        <w:t xml:space="preserve">L. MARCHI (a cura di), Introduzione all’economia aziendale. Il sistema delle operazioni e le condizioni di equilibrio aziendale, Torino, </w:t>
      </w:r>
      <w:proofErr w:type="spellStart"/>
      <w:r w:rsidRPr="00C3124F">
        <w:rPr>
          <w:rFonts w:ascii="Comic Sans MS" w:hAnsi="Comic Sans MS"/>
          <w:sz w:val="20"/>
          <w:szCs w:val="20"/>
        </w:rPr>
        <w:t>Giappichelli</w:t>
      </w:r>
      <w:proofErr w:type="spellEnd"/>
      <w:r w:rsidRPr="00C3124F">
        <w:rPr>
          <w:rFonts w:ascii="Comic Sans MS" w:hAnsi="Comic Sans MS"/>
          <w:sz w:val="20"/>
          <w:szCs w:val="20"/>
        </w:rPr>
        <w:t>, 200</w:t>
      </w:r>
      <w:r w:rsidR="00A2578E">
        <w:rPr>
          <w:rFonts w:ascii="Comic Sans MS" w:hAnsi="Comic Sans MS"/>
          <w:sz w:val="20"/>
          <w:szCs w:val="20"/>
        </w:rPr>
        <w:t>9</w:t>
      </w:r>
      <w:r w:rsidRPr="00C3124F">
        <w:rPr>
          <w:rFonts w:ascii="Comic Sans MS" w:hAnsi="Comic Sans MS"/>
          <w:sz w:val="20"/>
          <w:szCs w:val="20"/>
        </w:rPr>
        <w:t xml:space="preserve"> (</w:t>
      </w:r>
      <w:r w:rsidR="00A2578E">
        <w:rPr>
          <w:rFonts w:ascii="Comic Sans MS" w:hAnsi="Comic Sans MS"/>
          <w:sz w:val="20"/>
          <w:szCs w:val="20"/>
        </w:rPr>
        <w:t>7</w:t>
      </w:r>
      <w:r>
        <w:rPr>
          <w:rFonts w:ascii="Comic Sans MS" w:hAnsi="Comic Sans MS"/>
          <w:sz w:val="20"/>
          <w:szCs w:val="20"/>
        </w:rPr>
        <w:t xml:space="preserve">^ edizione). </w:t>
      </w: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Escluse le seguenti parti:</w:t>
      </w: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2.3, 2.4;    4.1.5, 4.2, 4.3, 4.4, 4.5;    9;   10.1.3, 10.1.5,</w:t>
      </w:r>
      <w:r w:rsidR="00F6609E">
        <w:rPr>
          <w:rFonts w:ascii="Comic Sans MS" w:hAnsi="Comic Sans MS"/>
          <w:sz w:val="20"/>
          <w:szCs w:val="20"/>
        </w:rPr>
        <w:t xml:space="preserve"> 10.1.6, 10.2.3, 10.2.4,</w:t>
      </w:r>
      <w:r>
        <w:rPr>
          <w:rFonts w:ascii="Comic Sans MS" w:hAnsi="Comic Sans MS"/>
          <w:sz w:val="20"/>
          <w:szCs w:val="20"/>
        </w:rPr>
        <w:t xml:space="preserve"> 10.3.3, 10.3.4;   11.</w:t>
      </w:r>
    </w:p>
    <w:p w:rsidR="00F6609E" w:rsidRPr="00F6609E" w:rsidRDefault="00F6609E" w:rsidP="00F6609E">
      <w:pPr>
        <w:jc w:val="both"/>
        <w:rPr>
          <w:rFonts w:ascii="Comic Sans MS" w:hAnsi="Comic Sans MS"/>
          <w:b/>
          <w:bCs/>
          <w:color w:val="800000"/>
          <w:sz w:val="20"/>
        </w:rPr>
      </w:pPr>
      <w:r w:rsidRPr="00F6609E">
        <w:rPr>
          <w:rFonts w:ascii="Comic Sans MS" w:hAnsi="Comic Sans MS"/>
          <w:b/>
          <w:sz w:val="20"/>
          <w:szCs w:val="20"/>
        </w:rPr>
        <w:t>Non ci sono cambiamenti sostanziali rispetto al programma dello scorso anno. Si consiglia in ogni caso di confrontare la vecchia edizione del libro con la nuova per eventuali aggiornamenti.</w:t>
      </w: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</w:p>
    <w:p w:rsidR="00197AD5" w:rsidRPr="00C3124F" w:rsidRDefault="00197AD5" w:rsidP="00F6609E">
      <w:pPr>
        <w:jc w:val="both"/>
        <w:rPr>
          <w:rFonts w:ascii="Comic Sans MS" w:hAnsi="Comic Sans MS"/>
          <w:sz w:val="20"/>
          <w:szCs w:val="20"/>
        </w:rPr>
      </w:pPr>
    </w:p>
    <w:p w:rsidR="00197AD5" w:rsidRDefault="00197AD5" w:rsidP="00F6609E">
      <w:pPr>
        <w:jc w:val="both"/>
        <w:rPr>
          <w:rFonts w:ascii="Comic Sans MS" w:hAnsi="Comic Sans MS"/>
          <w:b/>
          <w:bCs/>
          <w:color w:val="800000"/>
          <w:sz w:val="20"/>
          <w:szCs w:val="28"/>
        </w:rPr>
      </w:pPr>
      <w:r>
        <w:rPr>
          <w:rFonts w:ascii="Comic Sans MS" w:hAnsi="Comic Sans MS"/>
          <w:b/>
          <w:bCs/>
          <w:color w:val="800000"/>
          <w:sz w:val="20"/>
          <w:szCs w:val="28"/>
        </w:rPr>
        <w:t>Tipologia della verifica del profitto e la modalità di valutazione</w:t>
      </w:r>
    </w:p>
    <w:p w:rsidR="00197AD5" w:rsidRDefault="00197AD5" w:rsidP="00F6609E">
      <w:pPr>
        <w:jc w:val="both"/>
        <w:rPr>
          <w:rFonts w:ascii="Comic Sans MS" w:hAnsi="Comic Sans MS"/>
          <w:b/>
          <w:bCs/>
          <w:color w:val="800000"/>
          <w:sz w:val="20"/>
          <w:szCs w:val="28"/>
        </w:rPr>
      </w:pPr>
    </w:p>
    <w:p w:rsidR="00197AD5" w:rsidRDefault="00197AD5" w:rsidP="00F6609E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Sono previste sia la prova scritta che </w:t>
      </w:r>
      <w:r w:rsidR="003D0E77">
        <w:rPr>
          <w:rFonts w:ascii="Comic Sans MS" w:hAnsi="Comic Sans MS"/>
          <w:sz w:val="20"/>
          <w:szCs w:val="20"/>
        </w:rPr>
        <w:t>la prova</w:t>
      </w:r>
      <w:r>
        <w:rPr>
          <w:rFonts w:ascii="Comic Sans MS" w:hAnsi="Comic Sans MS"/>
          <w:sz w:val="20"/>
          <w:szCs w:val="20"/>
        </w:rPr>
        <w:t xml:space="preserve"> orale. Il superamento con esito positivo della prima prova è necessario per poter accedere alla seconda</w:t>
      </w:r>
      <w:r w:rsidR="00F6609E">
        <w:rPr>
          <w:rFonts w:ascii="Comic Sans MS" w:hAnsi="Comic Sans MS"/>
          <w:sz w:val="20"/>
          <w:szCs w:val="20"/>
        </w:rPr>
        <w:t>.</w:t>
      </w:r>
    </w:p>
    <w:p w:rsidR="00C13784" w:rsidRDefault="00C13784" w:rsidP="00F6609E">
      <w:pPr>
        <w:pStyle w:val="Corpodeltesto"/>
        <w:spacing w:line="360" w:lineRule="auto"/>
        <w:rPr>
          <w:b/>
          <w:bCs/>
          <w:color w:val="800000"/>
          <w:sz w:val="22"/>
        </w:rPr>
      </w:pPr>
    </w:p>
    <w:sectPr w:rsidR="00C13784">
      <w:pgSz w:w="11906" w:h="16838"/>
      <w:pgMar w:top="1134" w:right="14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11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1">
    <w:nsid w:val="4BDE3681"/>
    <w:multiLevelType w:val="hybridMultilevel"/>
    <w:tmpl w:val="780276CA"/>
    <w:lvl w:ilvl="0" w:tplc="0410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F727E24"/>
    <w:multiLevelType w:val="hybridMultilevel"/>
    <w:tmpl w:val="05AE1ED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noPunctuationKerning/>
  <w:characterSpacingControl w:val="doNotCompress"/>
  <w:compat/>
  <w:rsids>
    <w:rsidRoot w:val="00C13784"/>
    <w:rsid w:val="00197AD5"/>
    <w:rsid w:val="00244712"/>
    <w:rsid w:val="002A3564"/>
    <w:rsid w:val="00361A9E"/>
    <w:rsid w:val="003D0E77"/>
    <w:rsid w:val="004C3539"/>
    <w:rsid w:val="005E2CC1"/>
    <w:rsid w:val="00680CFA"/>
    <w:rsid w:val="007D74F6"/>
    <w:rsid w:val="00A2578E"/>
    <w:rsid w:val="00AB09F2"/>
    <w:rsid w:val="00BB52E1"/>
    <w:rsid w:val="00C13784"/>
    <w:rsid w:val="00C3124F"/>
    <w:rsid w:val="00C31A05"/>
    <w:rsid w:val="00D86B58"/>
    <w:rsid w:val="00E528FE"/>
    <w:rsid w:val="00F6609E"/>
    <w:rsid w:val="00FC6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708"/>
      <w:jc w:val="right"/>
      <w:outlineLvl w:val="0"/>
    </w:pPr>
    <w:rPr>
      <w:rFonts w:ascii="Comic Sans MS" w:hAnsi="Comic Sans MS"/>
      <w:b/>
      <w:bCs/>
      <w:sz w:val="20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eastAsia="Arial Unicode MS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ind w:left="3540" w:firstLine="708"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Comic Sans MS" w:hAnsi="Comic Sans MS"/>
      <w:b/>
      <w:bCs/>
      <w:color w:val="800000"/>
      <w:sz w:val="20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rFonts w:eastAsia="Arial Unicode MS"/>
      <w:b/>
      <w:bCs/>
      <w:color w:val="0000FF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Didascalia">
    <w:name w:val="caption"/>
    <w:basedOn w:val="Normale"/>
    <w:next w:val="Normale"/>
    <w:qFormat/>
    <w:rPr>
      <w:rFonts w:ascii="Comic Sans MS" w:hAnsi="Comic Sans MS"/>
      <w:b/>
      <w:bCs/>
      <w:sz w:val="22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Corpodeltesto">
    <w:name w:val="Body Text"/>
    <w:basedOn w:val="Normale"/>
    <w:pPr>
      <w:jc w:val="both"/>
    </w:pPr>
  </w:style>
  <w:style w:type="paragraph" w:styleId="Corpodeltesto2">
    <w:name w:val="Body Text 2"/>
    <w:basedOn w:val="Normale"/>
    <w:pPr>
      <w:autoSpaceDE w:val="0"/>
      <w:autoSpaceDN w:val="0"/>
      <w:adjustRightInd w:val="0"/>
    </w:pPr>
    <w:rPr>
      <w:sz w:val="22"/>
      <w:szCs w:val="28"/>
    </w:rPr>
  </w:style>
  <w:style w:type="paragraph" w:customStyle="1" w:styleId="WW-Corpodeltesto2">
    <w:name w:val="WW-Corpo del testo 2"/>
    <w:basedOn w:val="Normale"/>
    <w:rsid w:val="00BB52E1"/>
    <w:pPr>
      <w:suppressAutoHyphens/>
      <w:jc w:val="both"/>
    </w:pPr>
    <w:rPr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Macerata</vt:lpstr>
    </vt:vector>
  </TitlesOfParts>
  <Company>Presidenza di Lettere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Macerata</dc:title>
  <dc:creator>Università degli studi di Macerata</dc:creator>
  <cp:lastModifiedBy>Aziendalisti</cp:lastModifiedBy>
  <cp:revision>2</cp:revision>
  <cp:lastPrinted>2006-04-27T14:58:00Z</cp:lastPrinted>
  <dcterms:created xsi:type="dcterms:W3CDTF">2009-11-19T10:39:00Z</dcterms:created>
  <dcterms:modified xsi:type="dcterms:W3CDTF">2009-11-19T10:39:00Z</dcterms:modified>
</cp:coreProperties>
</file>