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4E0" w:rsidRDefault="007234E0" w:rsidP="007234E0">
      <w:pPr>
        <w:keepNext/>
        <w:rPr>
          <w:b/>
          <w:bCs/>
          <w:szCs w:val="24"/>
          <w:u w:val="single"/>
        </w:rPr>
      </w:pPr>
      <w:r w:rsidRPr="00016BA6">
        <w:rPr>
          <w:b/>
          <w:bCs/>
          <w:szCs w:val="24"/>
          <w:u w:val="single"/>
        </w:rPr>
        <w:t>Pubblicazioni</w:t>
      </w:r>
      <w:r>
        <w:rPr>
          <w:b/>
          <w:bCs/>
          <w:szCs w:val="24"/>
          <w:u w:val="single"/>
        </w:rPr>
        <w:t xml:space="preserve"> Francesca De Vittor</w:t>
      </w:r>
      <w:r w:rsidRPr="00016BA6">
        <w:rPr>
          <w:b/>
          <w:bCs/>
          <w:szCs w:val="24"/>
          <w:u w:val="single"/>
        </w:rPr>
        <w:t>:</w:t>
      </w:r>
    </w:p>
    <w:p w:rsidR="007234E0" w:rsidRPr="00016BA6" w:rsidRDefault="007234E0" w:rsidP="007234E0">
      <w:pPr>
        <w:keepNext/>
        <w:rPr>
          <w:b/>
          <w:bCs/>
          <w:szCs w:val="24"/>
          <w:u w:val="single"/>
        </w:rPr>
      </w:pPr>
      <w:bookmarkStart w:id="0" w:name="_GoBack"/>
      <w:bookmarkEnd w:id="0"/>
    </w:p>
    <w:p w:rsidR="007234E0" w:rsidRPr="00016BA6" w:rsidRDefault="007234E0" w:rsidP="007234E0">
      <w:pPr>
        <w:pStyle w:val="Titolo1"/>
        <w:keepNext w:val="0"/>
        <w:numPr>
          <w:ilvl w:val="0"/>
          <w:numId w:val="2"/>
        </w:numPr>
        <w:spacing w:line="240" w:lineRule="auto"/>
        <w:rPr>
          <w:szCs w:val="24"/>
        </w:rPr>
      </w:pPr>
      <w:r w:rsidRPr="00016BA6">
        <w:rPr>
          <w:i/>
          <w:szCs w:val="24"/>
        </w:rPr>
        <w:t xml:space="preserve">Concorrenza sleale, provvedimenti cautelari e </w:t>
      </w:r>
      <w:proofErr w:type="spellStart"/>
      <w:r w:rsidRPr="00016BA6">
        <w:rPr>
          <w:i/>
          <w:szCs w:val="24"/>
        </w:rPr>
        <w:t>astreinte</w:t>
      </w:r>
      <w:proofErr w:type="spellEnd"/>
      <w:r w:rsidRPr="00016BA6">
        <w:rPr>
          <w:szCs w:val="24"/>
        </w:rPr>
        <w:t xml:space="preserve">, in Responsabilità comunicazione impresa, </w:t>
      </w:r>
      <w:proofErr w:type="spellStart"/>
      <w:r w:rsidRPr="00016BA6">
        <w:rPr>
          <w:szCs w:val="24"/>
        </w:rPr>
        <w:t>Giuffré</w:t>
      </w:r>
      <w:proofErr w:type="spellEnd"/>
      <w:r w:rsidRPr="00016BA6">
        <w:rPr>
          <w:szCs w:val="24"/>
        </w:rPr>
        <w:t xml:space="preserve"> Milano, 1999 n. 3, pp. 329-337  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016BA6">
        <w:rPr>
          <w:i/>
          <w:szCs w:val="24"/>
        </w:rPr>
        <w:t>Immunità degli Stati dalla giurisdizione e tutela dei diritti umani fondamentali</w:t>
      </w:r>
      <w:r w:rsidRPr="00016BA6">
        <w:rPr>
          <w:szCs w:val="24"/>
        </w:rPr>
        <w:t>, in Rivista di diritto internazionale, 2002 n. 3, pp. 573-617</w:t>
      </w:r>
    </w:p>
    <w:p w:rsidR="007234E0" w:rsidRPr="00016BA6" w:rsidRDefault="007234E0" w:rsidP="007234E0">
      <w:pPr>
        <w:pStyle w:val="Titolo1"/>
        <w:numPr>
          <w:ilvl w:val="0"/>
          <w:numId w:val="2"/>
        </w:numPr>
        <w:spacing w:line="240" w:lineRule="auto"/>
        <w:rPr>
          <w:szCs w:val="24"/>
          <w:lang w:val="fr-FR"/>
        </w:rPr>
      </w:pPr>
      <w:r w:rsidRPr="00016BA6">
        <w:rPr>
          <w:i/>
          <w:szCs w:val="24"/>
          <w:lang w:val="fr-FR"/>
        </w:rPr>
        <w:t>L’apport des Tribunaux Pénaux Internationaux à la définition du crime de torture</w:t>
      </w:r>
      <w:r w:rsidRPr="00016BA6">
        <w:rPr>
          <w:szCs w:val="24"/>
          <w:lang w:val="fr-FR"/>
        </w:rPr>
        <w:t xml:space="preserve">, in S. </w:t>
      </w:r>
      <w:proofErr w:type="spellStart"/>
      <w:r w:rsidRPr="00C503FA">
        <w:rPr>
          <w:szCs w:val="24"/>
          <w:lang w:val="fr-FR"/>
        </w:rPr>
        <w:t>Manacorda</w:t>
      </w:r>
      <w:proofErr w:type="spellEnd"/>
      <w:r w:rsidRPr="00016BA6">
        <w:rPr>
          <w:smallCaps/>
          <w:szCs w:val="24"/>
          <w:lang w:val="fr-FR"/>
        </w:rPr>
        <w:t xml:space="preserve"> </w:t>
      </w:r>
      <w:r w:rsidRPr="00016BA6">
        <w:rPr>
          <w:szCs w:val="24"/>
          <w:lang w:val="fr-FR"/>
        </w:rPr>
        <w:t xml:space="preserve">e </w:t>
      </w:r>
      <w:proofErr w:type="spellStart"/>
      <w:r w:rsidRPr="00016BA6">
        <w:rPr>
          <w:smallCaps/>
          <w:szCs w:val="24"/>
          <w:lang w:val="fr-FR"/>
        </w:rPr>
        <w:t>E</w:t>
      </w:r>
      <w:proofErr w:type="spellEnd"/>
      <w:r w:rsidRPr="00016BA6">
        <w:rPr>
          <w:smallCaps/>
          <w:szCs w:val="24"/>
          <w:lang w:val="fr-FR"/>
        </w:rPr>
        <w:t xml:space="preserve">. </w:t>
      </w:r>
      <w:proofErr w:type="spellStart"/>
      <w:r w:rsidRPr="00C503FA">
        <w:rPr>
          <w:szCs w:val="24"/>
          <w:lang w:val="fr-FR"/>
        </w:rPr>
        <w:t>Fronza</w:t>
      </w:r>
      <w:proofErr w:type="spellEnd"/>
      <w:r w:rsidRPr="00016BA6">
        <w:rPr>
          <w:smallCaps/>
          <w:szCs w:val="24"/>
          <w:lang w:val="fr-FR"/>
        </w:rPr>
        <w:t xml:space="preserve"> </w:t>
      </w:r>
      <w:r w:rsidRPr="00016BA6">
        <w:rPr>
          <w:szCs w:val="24"/>
          <w:lang w:val="fr-FR"/>
        </w:rPr>
        <w:t xml:space="preserve">(a cura di), </w:t>
      </w:r>
      <w:r w:rsidRPr="00016BA6">
        <w:rPr>
          <w:i/>
          <w:szCs w:val="24"/>
          <w:lang w:val="fr-FR"/>
        </w:rPr>
        <w:t xml:space="preserve">La justice pénale internationale dans les décisions des Tribunaux ad hoc. Etudes des Law </w:t>
      </w:r>
      <w:proofErr w:type="spellStart"/>
      <w:r w:rsidRPr="00016BA6">
        <w:rPr>
          <w:i/>
          <w:szCs w:val="24"/>
          <w:lang w:val="fr-FR"/>
        </w:rPr>
        <w:t>Clinics</w:t>
      </w:r>
      <w:proofErr w:type="spellEnd"/>
      <w:r w:rsidRPr="00016BA6">
        <w:rPr>
          <w:i/>
          <w:szCs w:val="24"/>
          <w:lang w:val="fr-FR"/>
        </w:rPr>
        <w:t xml:space="preserve"> en droit pénal international de Paris et Naples</w:t>
      </w:r>
      <w:r w:rsidRPr="00016BA6">
        <w:rPr>
          <w:szCs w:val="24"/>
          <w:lang w:val="fr-FR"/>
        </w:rPr>
        <w:t xml:space="preserve">, </w:t>
      </w:r>
      <w:proofErr w:type="spellStart"/>
      <w:r w:rsidRPr="00016BA6">
        <w:rPr>
          <w:szCs w:val="24"/>
          <w:lang w:val="fr-FR"/>
        </w:rPr>
        <w:t>Giuffré</w:t>
      </w:r>
      <w:proofErr w:type="spellEnd"/>
      <w:r w:rsidRPr="00016BA6">
        <w:rPr>
          <w:szCs w:val="24"/>
          <w:lang w:val="fr-FR"/>
        </w:rPr>
        <w:t xml:space="preserve"> Milano e </w:t>
      </w:r>
      <w:proofErr w:type="spellStart"/>
      <w:r w:rsidRPr="00016BA6">
        <w:rPr>
          <w:szCs w:val="24"/>
          <w:lang w:val="fr-FR"/>
        </w:rPr>
        <w:t>Bruylant</w:t>
      </w:r>
      <w:proofErr w:type="spellEnd"/>
      <w:r w:rsidRPr="00016BA6">
        <w:rPr>
          <w:szCs w:val="24"/>
          <w:lang w:val="fr-FR"/>
        </w:rPr>
        <w:t xml:space="preserve"> Bruxelles, 2003</w:t>
      </w:r>
      <w:r>
        <w:rPr>
          <w:szCs w:val="24"/>
          <w:lang w:val="fr-FR"/>
        </w:rPr>
        <w:t>, ISBN 88-14-10481-6</w:t>
      </w:r>
      <w:r w:rsidRPr="00016BA6">
        <w:rPr>
          <w:szCs w:val="24"/>
          <w:lang w:val="fr-FR"/>
        </w:rPr>
        <w:t>.</w:t>
      </w:r>
    </w:p>
    <w:p w:rsidR="007234E0" w:rsidRPr="00016BA6" w:rsidRDefault="007234E0" w:rsidP="007234E0">
      <w:pPr>
        <w:pStyle w:val="Titolo1"/>
        <w:numPr>
          <w:ilvl w:val="0"/>
          <w:numId w:val="2"/>
        </w:numPr>
        <w:spacing w:before="0" w:after="0" w:line="240" w:lineRule="auto"/>
        <w:rPr>
          <w:szCs w:val="24"/>
        </w:rPr>
      </w:pPr>
      <w:r w:rsidRPr="00016BA6">
        <w:rPr>
          <w:i/>
          <w:szCs w:val="24"/>
        </w:rPr>
        <w:t xml:space="preserve">La presenza del pubblico ufficiale ai fini della definizione del crimine di tortura: In margine al caso </w:t>
      </w:r>
      <w:proofErr w:type="spellStart"/>
      <w:r w:rsidRPr="00016BA6">
        <w:rPr>
          <w:szCs w:val="24"/>
        </w:rPr>
        <w:t>Kunarac</w:t>
      </w:r>
      <w:proofErr w:type="spellEnd"/>
      <w:r w:rsidRPr="00016BA6">
        <w:rPr>
          <w:szCs w:val="24"/>
        </w:rPr>
        <w:t>, in Rivista di diritto internazionale, 2004 n. 2, pp. 427-451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  <w:lang w:val="fr-FR"/>
        </w:rPr>
      </w:pPr>
      <w:r w:rsidRPr="00016BA6">
        <w:rPr>
          <w:i/>
          <w:szCs w:val="24"/>
          <w:lang w:val="fr-FR"/>
        </w:rPr>
        <w:t>La guerre en Iraq : le point de vue de la doctrine européenne</w:t>
      </w:r>
      <w:r w:rsidRPr="00016BA6">
        <w:rPr>
          <w:szCs w:val="24"/>
          <w:lang w:val="fr-FR"/>
        </w:rPr>
        <w:t xml:space="preserve">, con M. </w:t>
      </w:r>
      <w:proofErr w:type="spellStart"/>
      <w:r w:rsidRPr="00C503FA">
        <w:rPr>
          <w:szCs w:val="24"/>
          <w:lang w:val="fr-FR"/>
        </w:rPr>
        <w:t>Iovane</w:t>
      </w:r>
      <w:proofErr w:type="spellEnd"/>
      <w:r w:rsidRPr="00016BA6">
        <w:rPr>
          <w:smallCaps/>
          <w:szCs w:val="24"/>
          <w:lang w:val="fr-FR"/>
        </w:rPr>
        <w:t>,</w:t>
      </w:r>
      <w:r w:rsidRPr="00016BA6">
        <w:rPr>
          <w:szCs w:val="24"/>
          <w:lang w:val="fr-FR"/>
        </w:rPr>
        <w:t xml:space="preserve"> Annuaire Français du Droit International, 2003, pp. 17-31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  <w:lang w:val="en-GB"/>
        </w:rPr>
      </w:pPr>
      <w:r w:rsidRPr="00016BA6">
        <w:rPr>
          <w:i/>
          <w:szCs w:val="24"/>
          <w:lang w:val="en-GB"/>
        </w:rPr>
        <w:t xml:space="preserve">State Immunity and Human Rights: The Italian Supreme court Decision on the </w:t>
      </w:r>
      <w:proofErr w:type="spellStart"/>
      <w:r w:rsidRPr="00016BA6">
        <w:rPr>
          <w:szCs w:val="24"/>
          <w:lang w:val="en-GB"/>
        </w:rPr>
        <w:t>Ferrini</w:t>
      </w:r>
      <w:proofErr w:type="spellEnd"/>
      <w:r w:rsidRPr="00016BA6">
        <w:rPr>
          <w:szCs w:val="24"/>
          <w:lang w:val="en-GB"/>
        </w:rPr>
        <w:t xml:space="preserve"> </w:t>
      </w:r>
      <w:r w:rsidRPr="00016BA6">
        <w:rPr>
          <w:i/>
          <w:szCs w:val="24"/>
          <w:lang w:val="en-GB"/>
        </w:rPr>
        <w:t>case</w:t>
      </w:r>
      <w:r w:rsidRPr="00016BA6">
        <w:rPr>
          <w:szCs w:val="24"/>
          <w:lang w:val="en-GB"/>
        </w:rPr>
        <w:t xml:space="preserve">, con P. De </w:t>
      </w:r>
      <w:proofErr w:type="spellStart"/>
      <w:r w:rsidRPr="00016BA6">
        <w:rPr>
          <w:szCs w:val="24"/>
          <w:lang w:val="en-GB"/>
        </w:rPr>
        <w:t>Sena</w:t>
      </w:r>
      <w:proofErr w:type="spellEnd"/>
      <w:r w:rsidRPr="00016BA6">
        <w:rPr>
          <w:szCs w:val="24"/>
          <w:lang w:val="en-GB"/>
        </w:rPr>
        <w:t xml:space="preserve">, in European Journal of International Law, 2005, n. 1, pp. 89-112.  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016BA6">
        <w:rPr>
          <w:szCs w:val="24"/>
        </w:rPr>
        <w:t xml:space="preserve">Versione italiana del lavoro di cui al punto 6, </w:t>
      </w:r>
      <w:r w:rsidRPr="00016BA6">
        <w:rPr>
          <w:i/>
          <w:szCs w:val="24"/>
        </w:rPr>
        <w:t xml:space="preserve">Immunità degli Stati dalla giurisdizione e violazione di diritti dell’uomo : la sentenza della Cassazione italiana nel caso </w:t>
      </w:r>
      <w:proofErr w:type="spellStart"/>
      <w:r w:rsidRPr="00016BA6">
        <w:rPr>
          <w:i/>
          <w:szCs w:val="24"/>
        </w:rPr>
        <w:t>Ferrini</w:t>
      </w:r>
      <w:proofErr w:type="spellEnd"/>
      <w:r w:rsidRPr="00016BA6">
        <w:rPr>
          <w:szCs w:val="24"/>
        </w:rPr>
        <w:t>, in Giurisprudenza</w:t>
      </w:r>
      <w:r w:rsidRPr="00016BA6">
        <w:rPr>
          <w:i/>
          <w:szCs w:val="24"/>
        </w:rPr>
        <w:t xml:space="preserve"> </w:t>
      </w:r>
      <w:r w:rsidRPr="00016BA6">
        <w:rPr>
          <w:szCs w:val="24"/>
        </w:rPr>
        <w:t>Italiana, febbraio 2005, pp. 255-265.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016BA6">
        <w:rPr>
          <w:szCs w:val="24"/>
          <w:lang w:val="en-GB"/>
        </w:rPr>
        <w:t xml:space="preserve">Nota a </w:t>
      </w:r>
      <w:r w:rsidRPr="00016BA6">
        <w:rPr>
          <w:i/>
          <w:szCs w:val="24"/>
          <w:lang w:val="en-GB"/>
        </w:rPr>
        <w:t xml:space="preserve">Corte di </w:t>
      </w:r>
      <w:proofErr w:type="spellStart"/>
      <w:r w:rsidRPr="00016BA6">
        <w:rPr>
          <w:i/>
          <w:szCs w:val="24"/>
          <w:lang w:val="en-GB"/>
        </w:rPr>
        <w:t>Cassazione</w:t>
      </w:r>
      <w:proofErr w:type="spellEnd"/>
      <w:r w:rsidRPr="00016BA6">
        <w:rPr>
          <w:i/>
          <w:szCs w:val="24"/>
          <w:lang w:val="en-GB"/>
        </w:rPr>
        <w:t xml:space="preserve"> (</w:t>
      </w:r>
      <w:proofErr w:type="spellStart"/>
      <w:r w:rsidRPr="00016BA6">
        <w:rPr>
          <w:i/>
          <w:szCs w:val="24"/>
          <w:lang w:val="en-GB"/>
        </w:rPr>
        <w:t>Sezioni</w:t>
      </w:r>
      <w:proofErr w:type="spellEnd"/>
      <w:r w:rsidRPr="00016BA6">
        <w:rPr>
          <w:i/>
          <w:szCs w:val="24"/>
          <w:lang w:val="en-GB"/>
        </w:rPr>
        <w:t xml:space="preserve"> Unite)</w:t>
      </w:r>
      <w:r w:rsidRPr="00016BA6">
        <w:rPr>
          <w:szCs w:val="24"/>
          <w:lang w:val="en-GB"/>
        </w:rPr>
        <w:t xml:space="preserve">, 12 November 2003 No. 17087 (order) </w:t>
      </w:r>
      <w:r w:rsidRPr="00016BA6">
        <w:rPr>
          <w:i/>
          <w:szCs w:val="24"/>
          <w:lang w:val="en-GB"/>
        </w:rPr>
        <w:t xml:space="preserve">Association of Italian Knights of the Sovereign Military Order of Malta v. </w:t>
      </w:r>
      <w:proofErr w:type="spellStart"/>
      <w:r w:rsidRPr="00016BA6">
        <w:rPr>
          <w:i/>
          <w:szCs w:val="24"/>
          <w:lang w:val="en-GB"/>
        </w:rPr>
        <w:t>Spatini</w:t>
      </w:r>
      <w:proofErr w:type="spellEnd"/>
      <w:r w:rsidRPr="00016BA6">
        <w:rPr>
          <w:szCs w:val="24"/>
          <w:lang w:val="en-GB"/>
        </w:rPr>
        <w:t>, in Italian Yearbook of International Law (</w:t>
      </w:r>
      <w:proofErr w:type="spellStart"/>
      <w:r w:rsidRPr="00016BA6">
        <w:rPr>
          <w:szCs w:val="24"/>
          <w:lang w:val="en-GB"/>
        </w:rPr>
        <w:t>Martinus</w:t>
      </w:r>
      <w:proofErr w:type="spellEnd"/>
      <w:r w:rsidRPr="00016BA6">
        <w:rPr>
          <w:szCs w:val="24"/>
          <w:lang w:val="en-GB"/>
        </w:rPr>
        <w:t xml:space="preserve"> </w:t>
      </w:r>
      <w:proofErr w:type="spellStart"/>
      <w:r w:rsidRPr="00016BA6">
        <w:rPr>
          <w:szCs w:val="24"/>
          <w:lang w:val="en-GB"/>
        </w:rPr>
        <w:t>Nijhoff</w:t>
      </w:r>
      <w:proofErr w:type="spellEnd"/>
      <w:r w:rsidRPr="00016BA6">
        <w:rPr>
          <w:szCs w:val="24"/>
          <w:lang w:val="en-GB"/>
        </w:rPr>
        <w:t xml:space="preserve"> Publishers), vol. </w:t>
      </w:r>
      <w:r w:rsidRPr="00016BA6">
        <w:rPr>
          <w:szCs w:val="24"/>
        </w:rPr>
        <w:t>XIV, 2004, pp. 343-345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016BA6">
        <w:rPr>
          <w:szCs w:val="24"/>
        </w:rPr>
        <w:t xml:space="preserve">Nota a </w:t>
      </w:r>
      <w:r w:rsidRPr="00016BA6">
        <w:rPr>
          <w:i/>
          <w:szCs w:val="24"/>
        </w:rPr>
        <w:t>Corte di Cassazione (Sezioni Unite Civili)</w:t>
      </w:r>
      <w:r w:rsidRPr="00016BA6">
        <w:rPr>
          <w:szCs w:val="24"/>
        </w:rPr>
        <w:t xml:space="preserve">, 23 </w:t>
      </w:r>
      <w:proofErr w:type="spellStart"/>
      <w:r w:rsidRPr="00016BA6">
        <w:rPr>
          <w:szCs w:val="24"/>
        </w:rPr>
        <w:t>June</w:t>
      </w:r>
      <w:proofErr w:type="spellEnd"/>
      <w:r w:rsidRPr="00016BA6">
        <w:rPr>
          <w:szCs w:val="24"/>
        </w:rPr>
        <w:t xml:space="preserve"> 2005, No. 20995 (</w:t>
      </w:r>
      <w:proofErr w:type="spellStart"/>
      <w:r w:rsidRPr="00016BA6">
        <w:rPr>
          <w:szCs w:val="24"/>
        </w:rPr>
        <w:t>judgment</w:t>
      </w:r>
      <w:proofErr w:type="spellEnd"/>
      <w:r w:rsidRPr="00016BA6">
        <w:rPr>
          <w:szCs w:val="24"/>
        </w:rPr>
        <w:t xml:space="preserve">), </w:t>
      </w:r>
      <w:r w:rsidRPr="00016BA6">
        <w:rPr>
          <w:i/>
          <w:szCs w:val="24"/>
        </w:rPr>
        <w:t xml:space="preserve">Pistelli v. </w:t>
      </w:r>
      <w:proofErr w:type="spellStart"/>
      <w:r w:rsidRPr="00016BA6">
        <w:rPr>
          <w:i/>
          <w:szCs w:val="24"/>
        </w:rPr>
        <w:t>European</w:t>
      </w:r>
      <w:proofErr w:type="spellEnd"/>
      <w:r w:rsidRPr="00016BA6">
        <w:rPr>
          <w:i/>
          <w:szCs w:val="24"/>
        </w:rPr>
        <w:t xml:space="preserve"> </w:t>
      </w:r>
      <w:proofErr w:type="spellStart"/>
      <w:r w:rsidRPr="00016BA6">
        <w:rPr>
          <w:i/>
          <w:szCs w:val="24"/>
        </w:rPr>
        <w:t>University</w:t>
      </w:r>
      <w:proofErr w:type="spellEnd"/>
      <w:r w:rsidRPr="00016BA6">
        <w:rPr>
          <w:i/>
          <w:szCs w:val="24"/>
        </w:rPr>
        <w:t xml:space="preserve"> </w:t>
      </w:r>
      <w:proofErr w:type="spellStart"/>
      <w:r w:rsidRPr="00016BA6">
        <w:rPr>
          <w:i/>
          <w:szCs w:val="24"/>
        </w:rPr>
        <w:t>Institute</w:t>
      </w:r>
      <w:proofErr w:type="spellEnd"/>
      <w:r w:rsidRPr="00016BA6">
        <w:rPr>
          <w:szCs w:val="24"/>
        </w:rPr>
        <w:t xml:space="preserve">, </w:t>
      </w:r>
      <w:proofErr w:type="spellStart"/>
      <w:r w:rsidRPr="00016BA6">
        <w:rPr>
          <w:szCs w:val="24"/>
        </w:rPr>
        <w:t>Italian</w:t>
      </w:r>
      <w:proofErr w:type="spellEnd"/>
      <w:r w:rsidRPr="00016BA6">
        <w:rPr>
          <w:szCs w:val="24"/>
        </w:rPr>
        <w:t xml:space="preserve"> Yearbook of International Law (</w:t>
      </w:r>
      <w:proofErr w:type="spellStart"/>
      <w:r w:rsidRPr="00016BA6">
        <w:rPr>
          <w:szCs w:val="24"/>
        </w:rPr>
        <w:t>Martinus</w:t>
      </w:r>
      <w:proofErr w:type="spellEnd"/>
      <w:r w:rsidRPr="00016BA6">
        <w:rPr>
          <w:szCs w:val="24"/>
        </w:rPr>
        <w:t xml:space="preserve"> </w:t>
      </w:r>
      <w:proofErr w:type="spellStart"/>
      <w:r w:rsidRPr="00016BA6">
        <w:rPr>
          <w:szCs w:val="24"/>
        </w:rPr>
        <w:t>Nijhoff</w:t>
      </w:r>
      <w:proofErr w:type="spellEnd"/>
      <w:r w:rsidRPr="00016BA6">
        <w:rPr>
          <w:szCs w:val="24"/>
        </w:rPr>
        <w:t xml:space="preserve"> </w:t>
      </w:r>
      <w:proofErr w:type="spellStart"/>
      <w:r w:rsidRPr="00016BA6">
        <w:rPr>
          <w:szCs w:val="24"/>
        </w:rPr>
        <w:t>Publishers</w:t>
      </w:r>
      <w:proofErr w:type="spellEnd"/>
      <w:r w:rsidRPr="00016BA6">
        <w:rPr>
          <w:szCs w:val="24"/>
        </w:rPr>
        <w:t>), vol. XV, 2005, pp. 319-322</w:t>
      </w:r>
    </w:p>
    <w:p w:rsidR="007234E0" w:rsidRPr="00143764" w:rsidRDefault="007234E0" w:rsidP="007234E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0"/>
        <w:rPr>
          <w:szCs w:val="24"/>
        </w:rPr>
      </w:pPr>
      <w:r w:rsidRPr="00143764">
        <w:rPr>
          <w:i/>
          <w:szCs w:val="24"/>
        </w:rPr>
        <w:t xml:space="preserve">Immunità di Stati stranieri e dei loro organi dalla giurisdizione </w:t>
      </w:r>
      <w:proofErr w:type="spellStart"/>
      <w:r w:rsidRPr="00143764">
        <w:rPr>
          <w:i/>
          <w:szCs w:val="24"/>
        </w:rPr>
        <w:t>eviolazioni</w:t>
      </w:r>
      <w:proofErr w:type="spellEnd"/>
      <w:r w:rsidRPr="00143764">
        <w:rPr>
          <w:i/>
          <w:szCs w:val="24"/>
        </w:rPr>
        <w:t xml:space="preserve"> dei diritti</w:t>
      </w:r>
      <w:r w:rsidRPr="00143764">
        <w:rPr>
          <w:rFonts w:ascii="NewCaledoniaLTStd-It" w:eastAsiaTheme="minorHAnsi" w:hAnsi="NewCaledoniaLTStd-It" w:cs="NewCaledoniaLTStd-It"/>
          <w:i/>
          <w:iCs/>
          <w:szCs w:val="24"/>
          <w:lang w:eastAsia="en-US"/>
        </w:rPr>
        <w:t xml:space="preserve"> </w:t>
      </w:r>
      <w:r w:rsidRPr="00143764">
        <w:rPr>
          <w:i/>
          <w:szCs w:val="24"/>
        </w:rPr>
        <w:t xml:space="preserve">dell’uomo: il caso Jones, Mitchell and </w:t>
      </w:r>
      <w:proofErr w:type="spellStart"/>
      <w:r w:rsidRPr="00143764">
        <w:rPr>
          <w:i/>
          <w:szCs w:val="24"/>
        </w:rPr>
        <w:t>others</w:t>
      </w:r>
      <w:proofErr w:type="spellEnd"/>
      <w:r w:rsidRPr="00143764">
        <w:rPr>
          <w:szCs w:val="24"/>
        </w:rPr>
        <w:t>, Diritti umani e diritto internazionale (Franco Angeli), 2007, n. 1, pp. 144-149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016BA6">
        <w:rPr>
          <w:i/>
          <w:szCs w:val="24"/>
        </w:rPr>
        <w:t>Recenti sviluppi in tema di immunità degli Stati dalla giurisdizione: la Convenzione di New York del 2 dicembre 2004</w:t>
      </w:r>
      <w:r w:rsidRPr="00016BA6">
        <w:rPr>
          <w:szCs w:val="24"/>
        </w:rPr>
        <w:t xml:space="preserve">, in </w:t>
      </w:r>
      <w:r w:rsidRPr="00016BA6">
        <w:rPr>
          <w:i/>
          <w:szCs w:val="24"/>
        </w:rPr>
        <w:t>Comunicazioni e studi</w:t>
      </w:r>
      <w:r w:rsidRPr="00016BA6">
        <w:rPr>
          <w:szCs w:val="24"/>
        </w:rPr>
        <w:t>, vol. XXIII, 2007, pp. 47</w:t>
      </w:r>
      <w:r>
        <w:rPr>
          <w:szCs w:val="24"/>
        </w:rPr>
        <w:t>-85</w:t>
      </w:r>
      <w:r w:rsidRPr="00016BA6">
        <w:rPr>
          <w:szCs w:val="24"/>
        </w:rPr>
        <w:t xml:space="preserve">; lo stesso lavoro è pubblicato anche in Le immunità nel diritto internazionale, a cura di A. Lanciotti e A Tanzi, </w:t>
      </w:r>
      <w:proofErr w:type="spellStart"/>
      <w:r w:rsidRPr="00016BA6">
        <w:rPr>
          <w:szCs w:val="24"/>
        </w:rPr>
        <w:t>Giappichelli</w:t>
      </w:r>
      <w:proofErr w:type="spellEnd"/>
      <w:r w:rsidRPr="00016BA6">
        <w:rPr>
          <w:szCs w:val="24"/>
        </w:rPr>
        <w:t>, 2007, pp. 152-189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016BA6">
        <w:rPr>
          <w:i/>
          <w:szCs w:val="24"/>
        </w:rPr>
        <w:t>Diritto ad un ricorso effettivo e procedure per il riconoscimento dello status di rifugiato : la sospensione della misura di espulsione</w:t>
      </w:r>
      <w:r w:rsidRPr="00016BA6">
        <w:rPr>
          <w:szCs w:val="24"/>
        </w:rPr>
        <w:t xml:space="preserve">, in </w:t>
      </w:r>
      <w:r w:rsidRPr="00016BA6">
        <w:rPr>
          <w:i/>
          <w:szCs w:val="24"/>
        </w:rPr>
        <w:t>Diritti umani e diritto internazionale</w:t>
      </w:r>
      <w:r w:rsidRPr="00016BA6">
        <w:rPr>
          <w:szCs w:val="24"/>
        </w:rPr>
        <w:t>, 2008, pp. 427-432.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016BA6">
        <w:rPr>
          <w:i/>
          <w:szCs w:val="24"/>
        </w:rPr>
        <w:t xml:space="preserve">Immunità degli Stati dalla giurisdizione e risarcimento del danno per violazione di diritti fondamentali: il caso </w:t>
      </w:r>
      <w:r w:rsidRPr="00016BA6">
        <w:rPr>
          <w:szCs w:val="24"/>
        </w:rPr>
        <w:t xml:space="preserve">Mantelli, in </w:t>
      </w:r>
      <w:r w:rsidRPr="00016BA6">
        <w:rPr>
          <w:i/>
          <w:szCs w:val="24"/>
        </w:rPr>
        <w:t>Diritti umani e diritto internazionale</w:t>
      </w:r>
      <w:r w:rsidRPr="00016BA6">
        <w:rPr>
          <w:szCs w:val="24"/>
        </w:rPr>
        <w:t>, 2008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016BA6">
        <w:rPr>
          <w:i/>
          <w:szCs w:val="24"/>
        </w:rPr>
        <w:t>Soccorso in mare e rimpatri in Libia: tra diritto del mare e tutela internazionale dei diritti dell’uomo</w:t>
      </w:r>
      <w:r w:rsidRPr="00016BA6">
        <w:rPr>
          <w:szCs w:val="24"/>
        </w:rPr>
        <w:t xml:space="preserve">, in Rivista di diritto internazionale, 2009, p. 800 ss. 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i/>
          <w:szCs w:val="24"/>
        </w:rPr>
      </w:pPr>
      <w:r w:rsidRPr="00016BA6">
        <w:rPr>
          <w:i/>
          <w:szCs w:val="24"/>
        </w:rPr>
        <w:t>Sviluppo psicofisico del minore e controllo dell’immigrazione clandestina: il bilanciamento operato dalla Corte di cassazione</w:t>
      </w:r>
      <w:r w:rsidRPr="00016BA6">
        <w:rPr>
          <w:szCs w:val="24"/>
        </w:rPr>
        <w:t xml:space="preserve">, in </w:t>
      </w:r>
      <w:r w:rsidRPr="00016BA6">
        <w:rPr>
          <w:i/>
          <w:szCs w:val="24"/>
        </w:rPr>
        <w:t>Diritti umani e diritto internazionale</w:t>
      </w:r>
      <w:r w:rsidRPr="00016BA6">
        <w:rPr>
          <w:szCs w:val="24"/>
        </w:rPr>
        <w:t>, 2010, pp. 442-447.</w:t>
      </w:r>
    </w:p>
    <w:p w:rsidR="007234E0" w:rsidRPr="00016BA6" w:rsidRDefault="007234E0" w:rsidP="007234E0">
      <w:pPr>
        <w:numPr>
          <w:ilvl w:val="0"/>
          <w:numId w:val="2"/>
        </w:numPr>
        <w:suppressAutoHyphens/>
        <w:spacing w:after="120"/>
        <w:rPr>
          <w:i/>
          <w:szCs w:val="24"/>
          <w:lang w:val="fr-FR"/>
        </w:rPr>
      </w:pPr>
      <w:r w:rsidRPr="00016BA6">
        <w:rPr>
          <w:i/>
          <w:szCs w:val="24"/>
          <w:lang w:val="fr-FR"/>
        </w:rPr>
        <w:t>Institutions européennes et protection des migrants et refugiés</w:t>
      </w:r>
      <w:r w:rsidRPr="00016BA6">
        <w:rPr>
          <w:szCs w:val="24"/>
          <w:lang w:val="fr-FR"/>
        </w:rPr>
        <w:t>, in Millet-</w:t>
      </w:r>
      <w:proofErr w:type="spellStart"/>
      <w:r w:rsidRPr="00016BA6">
        <w:rPr>
          <w:szCs w:val="24"/>
          <w:lang w:val="fr-FR"/>
        </w:rPr>
        <w:t>Devalle</w:t>
      </w:r>
      <w:proofErr w:type="spellEnd"/>
      <w:r w:rsidRPr="00016BA6">
        <w:rPr>
          <w:szCs w:val="24"/>
          <w:lang w:val="fr-FR"/>
        </w:rPr>
        <w:t xml:space="preserve"> (</w:t>
      </w:r>
      <w:proofErr w:type="spellStart"/>
      <w:r w:rsidRPr="00016BA6">
        <w:rPr>
          <w:szCs w:val="24"/>
          <w:lang w:val="fr-FR"/>
        </w:rPr>
        <w:t>ed</w:t>
      </w:r>
      <w:proofErr w:type="spellEnd"/>
      <w:r w:rsidRPr="00016BA6">
        <w:rPr>
          <w:szCs w:val="24"/>
          <w:lang w:val="fr-FR"/>
        </w:rPr>
        <w:t xml:space="preserve">.), </w:t>
      </w:r>
      <w:r w:rsidRPr="00016BA6">
        <w:rPr>
          <w:i/>
          <w:szCs w:val="24"/>
          <w:lang w:val="fr-FR"/>
        </w:rPr>
        <w:t>L’Union européenne et la protection des migrants et des refugiés</w:t>
      </w:r>
      <w:r w:rsidRPr="00016BA6">
        <w:rPr>
          <w:szCs w:val="24"/>
          <w:lang w:val="fr-FR"/>
        </w:rPr>
        <w:t xml:space="preserve">, </w:t>
      </w:r>
      <w:proofErr w:type="spellStart"/>
      <w:r w:rsidRPr="00016BA6">
        <w:rPr>
          <w:szCs w:val="24"/>
          <w:lang w:val="fr-FR"/>
        </w:rPr>
        <w:t>Pédone</w:t>
      </w:r>
      <w:proofErr w:type="spellEnd"/>
      <w:r w:rsidRPr="00016BA6">
        <w:rPr>
          <w:szCs w:val="24"/>
          <w:lang w:val="fr-FR"/>
        </w:rPr>
        <w:t xml:space="preserve"> Paris, 2010, pp. 41-62.</w:t>
      </w:r>
    </w:p>
    <w:p w:rsidR="007234E0" w:rsidRPr="008C4A3E" w:rsidRDefault="007234E0" w:rsidP="007234E0">
      <w:pPr>
        <w:pStyle w:val="Paragrafoelenco"/>
        <w:numPr>
          <w:ilvl w:val="0"/>
          <w:numId w:val="2"/>
        </w:numPr>
        <w:suppressAutoHyphens/>
        <w:spacing w:after="120"/>
        <w:rPr>
          <w:szCs w:val="24"/>
        </w:rPr>
      </w:pPr>
      <w:r w:rsidRPr="008C4A3E">
        <w:rPr>
          <w:i/>
          <w:szCs w:val="24"/>
        </w:rPr>
        <w:lastRenderedPageBreak/>
        <w:t>Respingimenti in mare ed 'esternalizzazione' della protezione: il confine territoriale come limite agli obblighi di tutela</w:t>
      </w:r>
      <w:r w:rsidRPr="008C4A3E">
        <w:rPr>
          <w:szCs w:val="24"/>
        </w:rPr>
        <w:t xml:space="preserve">, nel volume </w:t>
      </w:r>
      <w:proofErr w:type="spellStart"/>
      <w:r w:rsidRPr="008C4A3E">
        <w:rPr>
          <w:i/>
          <w:szCs w:val="24"/>
        </w:rPr>
        <w:t>Ius</w:t>
      </w:r>
      <w:proofErr w:type="spellEnd"/>
      <w:r w:rsidRPr="008C4A3E">
        <w:rPr>
          <w:i/>
          <w:szCs w:val="24"/>
        </w:rPr>
        <w:t xml:space="preserve"> </w:t>
      </w:r>
      <w:proofErr w:type="spellStart"/>
      <w:r w:rsidRPr="008C4A3E">
        <w:rPr>
          <w:i/>
          <w:szCs w:val="24"/>
        </w:rPr>
        <w:t>peregrinandi</w:t>
      </w:r>
      <w:proofErr w:type="spellEnd"/>
      <w:r w:rsidRPr="008C4A3E">
        <w:rPr>
          <w:i/>
          <w:szCs w:val="24"/>
        </w:rPr>
        <w:t>: il fenomeno migratorio tra diritti fondamentali, esercizio della sovranità e dinamiche dell’esclusione</w:t>
      </w:r>
      <w:r w:rsidRPr="008C4A3E">
        <w:rPr>
          <w:szCs w:val="24"/>
        </w:rPr>
        <w:t xml:space="preserve">, a cura di </w:t>
      </w:r>
      <w:proofErr w:type="spellStart"/>
      <w:r w:rsidRPr="008C4A3E">
        <w:rPr>
          <w:szCs w:val="24"/>
        </w:rPr>
        <w:t>Meccarelli</w:t>
      </w:r>
      <w:proofErr w:type="spellEnd"/>
      <w:r w:rsidRPr="008C4A3E">
        <w:rPr>
          <w:szCs w:val="24"/>
        </w:rPr>
        <w:t xml:space="preserve">, </w:t>
      </w:r>
      <w:proofErr w:type="spellStart"/>
      <w:r w:rsidRPr="008C4A3E">
        <w:rPr>
          <w:szCs w:val="24"/>
        </w:rPr>
        <w:t>Sotis</w:t>
      </w:r>
      <w:proofErr w:type="spellEnd"/>
      <w:r w:rsidRPr="008C4A3E">
        <w:rPr>
          <w:szCs w:val="24"/>
        </w:rPr>
        <w:t>, Palchetti, ed. EUM, 2012, ISBN 88-978-6056-346-0, pp. 183-205</w:t>
      </w:r>
      <w:r>
        <w:rPr>
          <w:szCs w:val="24"/>
        </w:rPr>
        <w:t>.</w:t>
      </w:r>
    </w:p>
    <w:p w:rsidR="007234E0" w:rsidRPr="007D0952" w:rsidRDefault="007234E0" w:rsidP="007234E0">
      <w:pPr>
        <w:numPr>
          <w:ilvl w:val="0"/>
          <w:numId w:val="2"/>
        </w:numPr>
        <w:suppressAutoHyphens/>
        <w:spacing w:after="120"/>
        <w:rPr>
          <w:szCs w:val="24"/>
        </w:rPr>
      </w:pPr>
      <w:r w:rsidRPr="00B77355">
        <w:rPr>
          <w:i/>
          <w:szCs w:val="24"/>
          <w:lang w:val="en-US"/>
        </w:rPr>
        <w:t>Proportionality in the European Convention on Human Rights</w:t>
      </w:r>
      <w:r w:rsidRPr="00B77355">
        <w:rPr>
          <w:szCs w:val="24"/>
          <w:lang w:val="en-US"/>
        </w:rPr>
        <w:t xml:space="preserve"> (with E. </w:t>
      </w:r>
      <w:proofErr w:type="spellStart"/>
      <w:r w:rsidRPr="00B77355">
        <w:rPr>
          <w:szCs w:val="24"/>
          <w:lang w:val="en-US"/>
        </w:rPr>
        <w:t>Cannizzaro</w:t>
      </w:r>
      <w:proofErr w:type="spellEnd"/>
      <w:r w:rsidRPr="00B77355">
        <w:rPr>
          <w:szCs w:val="24"/>
          <w:lang w:val="en-US"/>
        </w:rPr>
        <w:t xml:space="preserve">), in Kolb and </w:t>
      </w:r>
      <w:proofErr w:type="spellStart"/>
      <w:r w:rsidRPr="00B77355">
        <w:rPr>
          <w:szCs w:val="24"/>
          <w:lang w:val="en-US"/>
        </w:rPr>
        <w:t>Gaggioli</w:t>
      </w:r>
      <w:proofErr w:type="spellEnd"/>
      <w:r w:rsidRPr="00B77355">
        <w:rPr>
          <w:szCs w:val="24"/>
          <w:lang w:val="en-US"/>
        </w:rPr>
        <w:t xml:space="preserve"> (ed. by), </w:t>
      </w:r>
      <w:r w:rsidRPr="00B77355">
        <w:rPr>
          <w:i/>
          <w:szCs w:val="24"/>
          <w:lang w:val="en-US"/>
        </w:rPr>
        <w:t>Research Handbook on Human Rights and Humanitarian Law</w:t>
      </w:r>
      <w:r w:rsidRPr="00B77355">
        <w:rPr>
          <w:szCs w:val="24"/>
          <w:lang w:val="en-US"/>
        </w:rPr>
        <w:t>,</w:t>
      </w:r>
      <w:r w:rsidRPr="00B77355">
        <w:rPr>
          <w:rFonts w:ascii="TimesNewRomanPSMT" w:hAnsi="TimesNewRomanPSMT" w:cs="TimesNewRomanPSMT"/>
          <w:sz w:val="20"/>
          <w:lang w:val="en-US"/>
        </w:rPr>
        <w:t xml:space="preserve"> </w:t>
      </w:r>
      <w:r w:rsidRPr="00B77355">
        <w:rPr>
          <w:szCs w:val="24"/>
          <w:lang w:val="en-US"/>
        </w:rPr>
        <w:t xml:space="preserve">Edward Elgar, Cheltenham, 2013, ISBN 978 1 84980 035 8, pp. 125-145. </w:t>
      </w:r>
      <w:r>
        <w:rPr>
          <w:szCs w:val="24"/>
        </w:rPr>
        <w:t>I</w:t>
      </w:r>
      <w:r w:rsidRPr="007D0952">
        <w:rPr>
          <w:szCs w:val="24"/>
        </w:rPr>
        <w:t>l libro è già pubblicato</w:t>
      </w:r>
      <w:r>
        <w:rPr>
          <w:szCs w:val="24"/>
        </w:rPr>
        <w:t xml:space="preserve"> (28 febbraio 2013) e consultabile nel </w:t>
      </w:r>
      <w:proofErr w:type="spellStart"/>
      <w:r>
        <w:rPr>
          <w:szCs w:val="24"/>
        </w:rPr>
        <w:t>catologo</w:t>
      </w:r>
      <w:proofErr w:type="spellEnd"/>
      <w:r>
        <w:rPr>
          <w:szCs w:val="24"/>
        </w:rPr>
        <w:t xml:space="preserve"> della casa editrice all’indirizzo </w:t>
      </w:r>
      <w:hyperlink r:id="rId6" w:history="1">
        <w:r w:rsidRPr="005951C7">
          <w:rPr>
            <w:rStyle w:val="Collegamentoipertestuale"/>
            <w:szCs w:val="24"/>
          </w:rPr>
          <w:t>http://www.elgaronline.com/abstract/9781849800358.xml</w:t>
        </w:r>
      </w:hyperlink>
      <w:r>
        <w:rPr>
          <w:szCs w:val="24"/>
        </w:rPr>
        <w:t xml:space="preserve"> </w:t>
      </w:r>
      <w:r w:rsidRPr="007D0952">
        <w:rPr>
          <w:szCs w:val="24"/>
        </w:rPr>
        <w:t>, non avendone però ancora ricevuto una copia</w:t>
      </w:r>
      <w:r>
        <w:rPr>
          <w:szCs w:val="24"/>
        </w:rPr>
        <w:t xml:space="preserve"> si producono le seconde bozze di stampa. </w:t>
      </w:r>
    </w:p>
    <w:p w:rsidR="007234E0" w:rsidRPr="00554F83" w:rsidRDefault="007234E0" w:rsidP="007234E0">
      <w:pPr>
        <w:numPr>
          <w:ilvl w:val="0"/>
          <w:numId w:val="2"/>
        </w:numPr>
        <w:suppressAutoHyphens/>
        <w:spacing w:after="120"/>
        <w:rPr>
          <w:i/>
          <w:szCs w:val="24"/>
          <w:lang w:val="en-US"/>
        </w:rPr>
      </w:pPr>
      <w:r w:rsidRPr="007234E0">
        <w:rPr>
          <w:i/>
          <w:szCs w:val="24"/>
          <w:lang w:val="en-US"/>
        </w:rPr>
        <w:t>Nationality and freedom of movement</w:t>
      </w:r>
      <w:r w:rsidRPr="007234E0">
        <w:rPr>
          <w:szCs w:val="24"/>
          <w:lang w:val="en-US"/>
        </w:rPr>
        <w:t>,</w:t>
      </w:r>
      <w:r w:rsidRPr="007234E0">
        <w:rPr>
          <w:i/>
          <w:szCs w:val="24"/>
          <w:lang w:val="en-US"/>
        </w:rPr>
        <w:t xml:space="preserve"> </w:t>
      </w:r>
      <w:r w:rsidRPr="007234E0">
        <w:rPr>
          <w:szCs w:val="24"/>
          <w:lang w:val="en-US"/>
        </w:rPr>
        <w:t xml:space="preserve">in </w:t>
      </w:r>
      <w:proofErr w:type="spellStart"/>
      <w:r w:rsidRPr="007234E0">
        <w:rPr>
          <w:szCs w:val="24"/>
          <w:lang w:val="en-US"/>
        </w:rPr>
        <w:t>Annoni</w:t>
      </w:r>
      <w:proofErr w:type="spellEnd"/>
      <w:r w:rsidRPr="007234E0">
        <w:rPr>
          <w:szCs w:val="24"/>
          <w:lang w:val="en-US"/>
        </w:rPr>
        <w:t xml:space="preserve"> and </w:t>
      </w:r>
      <w:proofErr w:type="spellStart"/>
      <w:r w:rsidRPr="007234E0">
        <w:rPr>
          <w:szCs w:val="24"/>
          <w:lang w:val="en-US"/>
        </w:rPr>
        <w:t>Forlati</w:t>
      </w:r>
      <w:proofErr w:type="spellEnd"/>
      <w:r w:rsidRPr="007234E0">
        <w:rPr>
          <w:szCs w:val="24"/>
          <w:lang w:val="en-US"/>
        </w:rPr>
        <w:t xml:space="preserve"> (ed. by), </w:t>
      </w:r>
      <w:r w:rsidRPr="007234E0">
        <w:rPr>
          <w:i/>
          <w:szCs w:val="24"/>
          <w:lang w:val="en-US"/>
        </w:rPr>
        <w:t>The Changing Role of Nationality in International Law</w:t>
      </w:r>
      <w:r w:rsidRPr="007234E0">
        <w:rPr>
          <w:szCs w:val="24"/>
          <w:lang w:val="en-US"/>
        </w:rPr>
        <w:t xml:space="preserve">, </w:t>
      </w:r>
      <w:proofErr w:type="spellStart"/>
      <w:r w:rsidRPr="007234E0">
        <w:rPr>
          <w:szCs w:val="24"/>
          <w:lang w:val="en-US"/>
        </w:rPr>
        <w:t>Ro</w:t>
      </w:r>
      <w:r>
        <w:rPr>
          <w:szCs w:val="24"/>
          <w:lang w:val="en-US"/>
        </w:rPr>
        <w:t>utledge</w:t>
      </w:r>
      <w:proofErr w:type="spellEnd"/>
      <w:r>
        <w:rPr>
          <w:szCs w:val="24"/>
          <w:lang w:val="en-US"/>
        </w:rPr>
        <w:t xml:space="preserve">, London, 2013, </w:t>
      </w:r>
      <w:r w:rsidRPr="00554F83">
        <w:rPr>
          <w:szCs w:val="24"/>
          <w:lang w:val="en-US"/>
        </w:rPr>
        <w:t>ISBN: 978-0-415-53545-8)</w:t>
      </w:r>
      <w:r>
        <w:rPr>
          <w:szCs w:val="24"/>
          <w:lang w:val="en-US"/>
        </w:rPr>
        <w:t>, pp. 96-116.</w:t>
      </w:r>
    </w:p>
    <w:p w:rsidR="007234E0" w:rsidRPr="008B0520" w:rsidRDefault="007234E0" w:rsidP="007234E0">
      <w:pPr>
        <w:autoSpaceDE w:val="0"/>
        <w:autoSpaceDN w:val="0"/>
        <w:adjustRightInd w:val="0"/>
        <w:spacing w:before="0" w:after="120"/>
        <w:ind w:left="360" w:hanging="360"/>
        <w:rPr>
          <w:b/>
          <w:color w:val="000000"/>
          <w:szCs w:val="24"/>
          <w:lang w:val="en-US"/>
        </w:rPr>
      </w:pPr>
    </w:p>
    <w:p w:rsidR="005C069C" w:rsidRPr="007234E0" w:rsidRDefault="005C069C">
      <w:pPr>
        <w:rPr>
          <w:lang w:val="en-US"/>
        </w:rPr>
      </w:pPr>
    </w:p>
    <w:sectPr w:rsidR="005C069C" w:rsidRPr="007234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CaledoniaLTStd-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A9A0DB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4E0"/>
    <w:rsid w:val="00001623"/>
    <w:rsid w:val="00001D03"/>
    <w:rsid w:val="00002B00"/>
    <w:rsid w:val="000038BA"/>
    <w:rsid w:val="000041F1"/>
    <w:rsid w:val="00007B53"/>
    <w:rsid w:val="000109D8"/>
    <w:rsid w:val="00010A5E"/>
    <w:rsid w:val="0001112C"/>
    <w:rsid w:val="000123E4"/>
    <w:rsid w:val="000163D9"/>
    <w:rsid w:val="00016727"/>
    <w:rsid w:val="00020312"/>
    <w:rsid w:val="00020992"/>
    <w:rsid w:val="00020BF9"/>
    <w:rsid w:val="00022B07"/>
    <w:rsid w:val="00023462"/>
    <w:rsid w:val="0002655B"/>
    <w:rsid w:val="00027E10"/>
    <w:rsid w:val="00030419"/>
    <w:rsid w:val="00030C68"/>
    <w:rsid w:val="00030E50"/>
    <w:rsid w:val="0003192C"/>
    <w:rsid w:val="00031EA0"/>
    <w:rsid w:val="0003363E"/>
    <w:rsid w:val="00035497"/>
    <w:rsid w:val="00036B77"/>
    <w:rsid w:val="00036CA4"/>
    <w:rsid w:val="0004072C"/>
    <w:rsid w:val="000435E9"/>
    <w:rsid w:val="0004488F"/>
    <w:rsid w:val="0004507B"/>
    <w:rsid w:val="000458A2"/>
    <w:rsid w:val="0004621F"/>
    <w:rsid w:val="000462DA"/>
    <w:rsid w:val="0004777B"/>
    <w:rsid w:val="00047932"/>
    <w:rsid w:val="0005070F"/>
    <w:rsid w:val="00053AD0"/>
    <w:rsid w:val="0005427F"/>
    <w:rsid w:val="0005531F"/>
    <w:rsid w:val="00055B68"/>
    <w:rsid w:val="000565B2"/>
    <w:rsid w:val="0006242E"/>
    <w:rsid w:val="000625F4"/>
    <w:rsid w:val="000634F7"/>
    <w:rsid w:val="00063884"/>
    <w:rsid w:val="00064B23"/>
    <w:rsid w:val="000666B6"/>
    <w:rsid w:val="000675E1"/>
    <w:rsid w:val="00070047"/>
    <w:rsid w:val="00071439"/>
    <w:rsid w:val="00075502"/>
    <w:rsid w:val="00076A6B"/>
    <w:rsid w:val="00077CB1"/>
    <w:rsid w:val="00080C76"/>
    <w:rsid w:val="00082080"/>
    <w:rsid w:val="00083A7D"/>
    <w:rsid w:val="00086D32"/>
    <w:rsid w:val="00087204"/>
    <w:rsid w:val="000906B9"/>
    <w:rsid w:val="000908EB"/>
    <w:rsid w:val="00090B16"/>
    <w:rsid w:val="00092D5D"/>
    <w:rsid w:val="00092D82"/>
    <w:rsid w:val="00094841"/>
    <w:rsid w:val="00095572"/>
    <w:rsid w:val="00095A59"/>
    <w:rsid w:val="00095AA8"/>
    <w:rsid w:val="0009695D"/>
    <w:rsid w:val="000A0C9E"/>
    <w:rsid w:val="000A1019"/>
    <w:rsid w:val="000A2BA6"/>
    <w:rsid w:val="000A3652"/>
    <w:rsid w:val="000A3D7B"/>
    <w:rsid w:val="000A3DA1"/>
    <w:rsid w:val="000A472A"/>
    <w:rsid w:val="000A4CDD"/>
    <w:rsid w:val="000A52BA"/>
    <w:rsid w:val="000A5B99"/>
    <w:rsid w:val="000A610D"/>
    <w:rsid w:val="000A6179"/>
    <w:rsid w:val="000A67EF"/>
    <w:rsid w:val="000A6E54"/>
    <w:rsid w:val="000B1162"/>
    <w:rsid w:val="000B5874"/>
    <w:rsid w:val="000B618B"/>
    <w:rsid w:val="000B6781"/>
    <w:rsid w:val="000B785C"/>
    <w:rsid w:val="000C0D79"/>
    <w:rsid w:val="000C0FD8"/>
    <w:rsid w:val="000C11E1"/>
    <w:rsid w:val="000C465B"/>
    <w:rsid w:val="000C49F7"/>
    <w:rsid w:val="000C598E"/>
    <w:rsid w:val="000C657F"/>
    <w:rsid w:val="000D011A"/>
    <w:rsid w:val="000D0192"/>
    <w:rsid w:val="000D4A13"/>
    <w:rsid w:val="000D53CB"/>
    <w:rsid w:val="000D70C3"/>
    <w:rsid w:val="000D73C2"/>
    <w:rsid w:val="000E047D"/>
    <w:rsid w:val="000E0EB2"/>
    <w:rsid w:val="000E0ED1"/>
    <w:rsid w:val="000E0F6B"/>
    <w:rsid w:val="000E17F5"/>
    <w:rsid w:val="000E26AF"/>
    <w:rsid w:val="000E2E6D"/>
    <w:rsid w:val="000E4B5E"/>
    <w:rsid w:val="000E5328"/>
    <w:rsid w:val="000E7433"/>
    <w:rsid w:val="000E7B5E"/>
    <w:rsid w:val="000F0AC9"/>
    <w:rsid w:val="000F2441"/>
    <w:rsid w:val="000F2BE8"/>
    <w:rsid w:val="000F467C"/>
    <w:rsid w:val="000F4C50"/>
    <w:rsid w:val="000F5F97"/>
    <w:rsid w:val="000F6359"/>
    <w:rsid w:val="000F68EE"/>
    <w:rsid w:val="00102564"/>
    <w:rsid w:val="00103031"/>
    <w:rsid w:val="00103760"/>
    <w:rsid w:val="00103951"/>
    <w:rsid w:val="00103EB2"/>
    <w:rsid w:val="00104266"/>
    <w:rsid w:val="00104E38"/>
    <w:rsid w:val="00105FE5"/>
    <w:rsid w:val="00106554"/>
    <w:rsid w:val="00106B33"/>
    <w:rsid w:val="00106B4D"/>
    <w:rsid w:val="00110EC8"/>
    <w:rsid w:val="00111170"/>
    <w:rsid w:val="0011418E"/>
    <w:rsid w:val="0011504E"/>
    <w:rsid w:val="001159FC"/>
    <w:rsid w:val="00123C22"/>
    <w:rsid w:val="00125ECE"/>
    <w:rsid w:val="00132719"/>
    <w:rsid w:val="00133681"/>
    <w:rsid w:val="001339DB"/>
    <w:rsid w:val="00134E37"/>
    <w:rsid w:val="00135424"/>
    <w:rsid w:val="00135AB9"/>
    <w:rsid w:val="00136659"/>
    <w:rsid w:val="00140013"/>
    <w:rsid w:val="00140B05"/>
    <w:rsid w:val="00140E0D"/>
    <w:rsid w:val="001417B1"/>
    <w:rsid w:val="0014745E"/>
    <w:rsid w:val="0015056A"/>
    <w:rsid w:val="001528DE"/>
    <w:rsid w:val="0015317C"/>
    <w:rsid w:val="00155382"/>
    <w:rsid w:val="001611C0"/>
    <w:rsid w:val="001620E5"/>
    <w:rsid w:val="001652B1"/>
    <w:rsid w:val="00165D7F"/>
    <w:rsid w:val="00165E2C"/>
    <w:rsid w:val="00170142"/>
    <w:rsid w:val="00172D4A"/>
    <w:rsid w:val="00174187"/>
    <w:rsid w:val="00177A9D"/>
    <w:rsid w:val="00180ABE"/>
    <w:rsid w:val="00184F0B"/>
    <w:rsid w:val="001853D2"/>
    <w:rsid w:val="001857ED"/>
    <w:rsid w:val="001867AA"/>
    <w:rsid w:val="0018682D"/>
    <w:rsid w:val="00187532"/>
    <w:rsid w:val="0019019D"/>
    <w:rsid w:val="0019243A"/>
    <w:rsid w:val="00196640"/>
    <w:rsid w:val="001970A9"/>
    <w:rsid w:val="001A0AE9"/>
    <w:rsid w:val="001A0B25"/>
    <w:rsid w:val="001A207C"/>
    <w:rsid w:val="001A59B7"/>
    <w:rsid w:val="001A74D4"/>
    <w:rsid w:val="001A7796"/>
    <w:rsid w:val="001A7B5C"/>
    <w:rsid w:val="001A7BC8"/>
    <w:rsid w:val="001B29C3"/>
    <w:rsid w:val="001B3E93"/>
    <w:rsid w:val="001B4DE2"/>
    <w:rsid w:val="001B6D5B"/>
    <w:rsid w:val="001C04D4"/>
    <w:rsid w:val="001C059A"/>
    <w:rsid w:val="001C1F11"/>
    <w:rsid w:val="001C32AA"/>
    <w:rsid w:val="001C400D"/>
    <w:rsid w:val="001C5284"/>
    <w:rsid w:val="001C64F8"/>
    <w:rsid w:val="001C7CEC"/>
    <w:rsid w:val="001D0456"/>
    <w:rsid w:val="001D1EFE"/>
    <w:rsid w:val="001D2F7A"/>
    <w:rsid w:val="001D3038"/>
    <w:rsid w:val="001D4B5D"/>
    <w:rsid w:val="001D54B8"/>
    <w:rsid w:val="001D6739"/>
    <w:rsid w:val="001E1FDE"/>
    <w:rsid w:val="001E2A11"/>
    <w:rsid w:val="001E2A4F"/>
    <w:rsid w:val="001E4506"/>
    <w:rsid w:val="001E4F47"/>
    <w:rsid w:val="001E7D8C"/>
    <w:rsid w:val="001F00BF"/>
    <w:rsid w:val="001F05AE"/>
    <w:rsid w:val="001F0F58"/>
    <w:rsid w:val="001F1568"/>
    <w:rsid w:val="001F1644"/>
    <w:rsid w:val="001F29A7"/>
    <w:rsid w:val="001F2EA2"/>
    <w:rsid w:val="001F4160"/>
    <w:rsid w:val="001F435E"/>
    <w:rsid w:val="001F4B0B"/>
    <w:rsid w:val="001F508F"/>
    <w:rsid w:val="001F6B13"/>
    <w:rsid w:val="001F7C81"/>
    <w:rsid w:val="00201909"/>
    <w:rsid w:val="00202C4C"/>
    <w:rsid w:val="0020343E"/>
    <w:rsid w:val="00203710"/>
    <w:rsid w:val="00203A93"/>
    <w:rsid w:val="00206353"/>
    <w:rsid w:val="00207AF8"/>
    <w:rsid w:val="00214416"/>
    <w:rsid w:val="00215CF8"/>
    <w:rsid w:val="00215E65"/>
    <w:rsid w:val="00216160"/>
    <w:rsid w:val="00216DB2"/>
    <w:rsid w:val="00217C2D"/>
    <w:rsid w:val="00220603"/>
    <w:rsid w:val="0022180C"/>
    <w:rsid w:val="002219EB"/>
    <w:rsid w:val="00221EE7"/>
    <w:rsid w:val="0022392E"/>
    <w:rsid w:val="00226CDF"/>
    <w:rsid w:val="00226D50"/>
    <w:rsid w:val="00227312"/>
    <w:rsid w:val="0023084F"/>
    <w:rsid w:val="00231018"/>
    <w:rsid w:val="0023395E"/>
    <w:rsid w:val="00233CEA"/>
    <w:rsid w:val="0023770C"/>
    <w:rsid w:val="00237C54"/>
    <w:rsid w:val="002418B2"/>
    <w:rsid w:val="002428B9"/>
    <w:rsid w:val="00243331"/>
    <w:rsid w:val="0024384C"/>
    <w:rsid w:val="002447C8"/>
    <w:rsid w:val="0024602B"/>
    <w:rsid w:val="00247C88"/>
    <w:rsid w:val="002513A1"/>
    <w:rsid w:val="002530CB"/>
    <w:rsid w:val="00253C3B"/>
    <w:rsid w:val="00254FA1"/>
    <w:rsid w:val="0025715B"/>
    <w:rsid w:val="00260086"/>
    <w:rsid w:val="002619B1"/>
    <w:rsid w:val="002628AA"/>
    <w:rsid w:val="002646E6"/>
    <w:rsid w:val="00264F6B"/>
    <w:rsid w:val="00266667"/>
    <w:rsid w:val="00267F55"/>
    <w:rsid w:val="0027422B"/>
    <w:rsid w:val="00275191"/>
    <w:rsid w:val="0027796C"/>
    <w:rsid w:val="0028074E"/>
    <w:rsid w:val="0028104E"/>
    <w:rsid w:val="002815A0"/>
    <w:rsid w:val="00283030"/>
    <w:rsid w:val="0028308F"/>
    <w:rsid w:val="00283102"/>
    <w:rsid w:val="00285470"/>
    <w:rsid w:val="00287254"/>
    <w:rsid w:val="00287BC1"/>
    <w:rsid w:val="00292BA7"/>
    <w:rsid w:val="00292D1D"/>
    <w:rsid w:val="002946D4"/>
    <w:rsid w:val="002957CB"/>
    <w:rsid w:val="0029796E"/>
    <w:rsid w:val="002A40F7"/>
    <w:rsid w:val="002A469A"/>
    <w:rsid w:val="002A4DB4"/>
    <w:rsid w:val="002A5326"/>
    <w:rsid w:val="002A6B36"/>
    <w:rsid w:val="002B2B69"/>
    <w:rsid w:val="002B3B08"/>
    <w:rsid w:val="002B511A"/>
    <w:rsid w:val="002B6BCB"/>
    <w:rsid w:val="002B6BE1"/>
    <w:rsid w:val="002C207B"/>
    <w:rsid w:val="002C2828"/>
    <w:rsid w:val="002C3539"/>
    <w:rsid w:val="002C3683"/>
    <w:rsid w:val="002C41DB"/>
    <w:rsid w:val="002C6322"/>
    <w:rsid w:val="002C6684"/>
    <w:rsid w:val="002D073C"/>
    <w:rsid w:val="002D1C81"/>
    <w:rsid w:val="002D4B75"/>
    <w:rsid w:val="002D5A27"/>
    <w:rsid w:val="002D5ACA"/>
    <w:rsid w:val="002D5B94"/>
    <w:rsid w:val="002D6C97"/>
    <w:rsid w:val="002D716B"/>
    <w:rsid w:val="002D7A38"/>
    <w:rsid w:val="002E1A64"/>
    <w:rsid w:val="002E3205"/>
    <w:rsid w:val="002E411F"/>
    <w:rsid w:val="002E6037"/>
    <w:rsid w:val="002E7D4C"/>
    <w:rsid w:val="002F05E7"/>
    <w:rsid w:val="002F521C"/>
    <w:rsid w:val="002F68CF"/>
    <w:rsid w:val="002F6EEC"/>
    <w:rsid w:val="002F7360"/>
    <w:rsid w:val="002F7510"/>
    <w:rsid w:val="00302A81"/>
    <w:rsid w:val="00302F48"/>
    <w:rsid w:val="003032B0"/>
    <w:rsid w:val="0030416B"/>
    <w:rsid w:val="0030514F"/>
    <w:rsid w:val="00306315"/>
    <w:rsid w:val="003070F8"/>
    <w:rsid w:val="00307FF9"/>
    <w:rsid w:val="00310DFA"/>
    <w:rsid w:val="003115EE"/>
    <w:rsid w:val="00313E0A"/>
    <w:rsid w:val="00314C66"/>
    <w:rsid w:val="00315F9F"/>
    <w:rsid w:val="003174E6"/>
    <w:rsid w:val="003176AE"/>
    <w:rsid w:val="003200CE"/>
    <w:rsid w:val="003229D8"/>
    <w:rsid w:val="0032404E"/>
    <w:rsid w:val="003240BC"/>
    <w:rsid w:val="00327227"/>
    <w:rsid w:val="00330883"/>
    <w:rsid w:val="00333BEF"/>
    <w:rsid w:val="0033422C"/>
    <w:rsid w:val="0033517D"/>
    <w:rsid w:val="00336F2B"/>
    <w:rsid w:val="003375FA"/>
    <w:rsid w:val="00340C2C"/>
    <w:rsid w:val="003411E0"/>
    <w:rsid w:val="00341C24"/>
    <w:rsid w:val="00343063"/>
    <w:rsid w:val="003430FC"/>
    <w:rsid w:val="00343179"/>
    <w:rsid w:val="00343535"/>
    <w:rsid w:val="00343FE9"/>
    <w:rsid w:val="00345B37"/>
    <w:rsid w:val="003511BE"/>
    <w:rsid w:val="00351C85"/>
    <w:rsid w:val="0035243F"/>
    <w:rsid w:val="00352BB9"/>
    <w:rsid w:val="0035329F"/>
    <w:rsid w:val="00355F31"/>
    <w:rsid w:val="003606E0"/>
    <w:rsid w:val="0036321B"/>
    <w:rsid w:val="003637A0"/>
    <w:rsid w:val="00365816"/>
    <w:rsid w:val="00366109"/>
    <w:rsid w:val="003661CD"/>
    <w:rsid w:val="00367C59"/>
    <w:rsid w:val="00372FB1"/>
    <w:rsid w:val="00373A8F"/>
    <w:rsid w:val="003740D8"/>
    <w:rsid w:val="00375B75"/>
    <w:rsid w:val="00376507"/>
    <w:rsid w:val="00376AEF"/>
    <w:rsid w:val="00376CAC"/>
    <w:rsid w:val="00376CBB"/>
    <w:rsid w:val="003803ED"/>
    <w:rsid w:val="003808C5"/>
    <w:rsid w:val="00380B3B"/>
    <w:rsid w:val="00380B90"/>
    <w:rsid w:val="00381993"/>
    <w:rsid w:val="003825F0"/>
    <w:rsid w:val="00383226"/>
    <w:rsid w:val="003834E9"/>
    <w:rsid w:val="00384005"/>
    <w:rsid w:val="0038481E"/>
    <w:rsid w:val="00386E82"/>
    <w:rsid w:val="003877AA"/>
    <w:rsid w:val="00392D8F"/>
    <w:rsid w:val="0039415B"/>
    <w:rsid w:val="00394569"/>
    <w:rsid w:val="003956D1"/>
    <w:rsid w:val="00396F9C"/>
    <w:rsid w:val="003A1156"/>
    <w:rsid w:val="003A21F8"/>
    <w:rsid w:val="003A2BED"/>
    <w:rsid w:val="003A2DFD"/>
    <w:rsid w:val="003A3697"/>
    <w:rsid w:val="003A56F9"/>
    <w:rsid w:val="003A58F3"/>
    <w:rsid w:val="003A7319"/>
    <w:rsid w:val="003B192C"/>
    <w:rsid w:val="003B26EE"/>
    <w:rsid w:val="003B3B93"/>
    <w:rsid w:val="003B4169"/>
    <w:rsid w:val="003B41BF"/>
    <w:rsid w:val="003B7419"/>
    <w:rsid w:val="003C0557"/>
    <w:rsid w:val="003C43C5"/>
    <w:rsid w:val="003C49D9"/>
    <w:rsid w:val="003C4FD7"/>
    <w:rsid w:val="003C718C"/>
    <w:rsid w:val="003C7CF5"/>
    <w:rsid w:val="003D2992"/>
    <w:rsid w:val="003D3738"/>
    <w:rsid w:val="003D4034"/>
    <w:rsid w:val="003D4B9D"/>
    <w:rsid w:val="003D53B1"/>
    <w:rsid w:val="003D5CAA"/>
    <w:rsid w:val="003D5CBD"/>
    <w:rsid w:val="003D624E"/>
    <w:rsid w:val="003D6303"/>
    <w:rsid w:val="003D6654"/>
    <w:rsid w:val="003D69D9"/>
    <w:rsid w:val="003D7AC6"/>
    <w:rsid w:val="003E25F9"/>
    <w:rsid w:val="003E28B5"/>
    <w:rsid w:val="003E6109"/>
    <w:rsid w:val="003E66C7"/>
    <w:rsid w:val="003E71D9"/>
    <w:rsid w:val="003E7CB9"/>
    <w:rsid w:val="003F028D"/>
    <w:rsid w:val="003F05FA"/>
    <w:rsid w:val="003F1D00"/>
    <w:rsid w:val="003F29AA"/>
    <w:rsid w:val="003F2E12"/>
    <w:rsid w:val="003F354B"/>
    <w:rsid w:val="003F3B60"/>
    <w:rsid w:val="003F6316"/>
    <w:rsid w:val="00400FEB"/>
    <w:rsid w:val="00401FDD"/>
    <w:rsid w:val="0040263E"/>
    <w:rsid w:val="004026E0"/>
    <w:rsid w:val="00403CE1"/>
    <w:rsid w:val="0040748D"/>
    <w:rsid w:val="00411890"/>
    <w:rsid w:val="0041205B"/>
    <w:rsid w:val="004128C1"/>
    <w:rsid w:val="00414E97"/>
    <w:rsid w:val="00417221"/>
    <w:rsid w:val="00425887"/>
    <w:rsid w:val="00425C06"/>
    <w:rsid w:val="00425F70"/>
    <w:rsid w:val="00426032"/>
    <w:rsid w:val="0042761C"/>
    <w:rsid w:val="00432B90"/>
    <w:rsid w:val="00433B47"/>
    <w:rsid w:val="00433E84"/>
    <w:rsid w:val="004349E1"/>
    <w:rsid w:val="00434F1E"/>
    <w:rsid w:val="00435F50"/>
    <w:rsid w:val="0043689A"/>
    <w:rsid w:val="004375C2"/>
    <w:rsid w:val="00437924"/>
    <w:rsid w:val="00440316"/>
    <w:rsid w:val="00440707"/>
    <w:rsid w:val="00441A95"/>
    <w:rsid w:val="00441D3F"/>
    <w:rsid w:val="00442170"/>
    <w:rsid w:val="00442A03"/>
    <w:rsid w:val="00443F3B"/>
    <w:rsid w:val="00444A48"/>
    <w:rsid w:val="00444FA1"/>
    <w:rsid w:val="00445B64"/>
    <w:rsid w:val="00446080"/>
    <w:rsid w:val="004461F3"/>
    <w:rsid w:val="0044706B"/>
    <w:rsid w:val="00447B27"/>
    <w:rsid w:val="00450221"/>
    <w:rsid w:val="00450ADD"/>
    <w:rsid w:val="00450F4E"/>
    <w:rsid w:val="004528FF"/>
    <w:rsid w:val="00452F17"/>
    <w:rsid w:val="0045375B"/>
    <w:rsid w:val="00453A94"/>
    <w:rsid w:val="00453AFE"/>
    <w:rsid w:val="004559AD"/>
    <w:rsid w:val="00456445"/>
    <w:rsid w:val="00456CEB"/>
    <w:rsid w:val="00457E20"/>
    <w:rsid w:val="004616B4"/>
    <w:rsid w:val="00463B51"/>
    <w:rsid w:val="00463EAD"/>
    <w:rsid w:val="004649B3"/>
    <w:rsid w:val="00464A71"/>
    <w:rsid w:val="004654D3"/>
    <w:rsid w:val="00467685"/>
    <w:rsid w:val="00467D3F"/>
    <w:rsid w:val="004700FF"/>
    <w:rsid w:val="00470F4B"/>
    <w:rsid w:val="0047485D"/>
    <w:rsid w:val="00475540"/>
    <w:rsid w:val="004779CD"/>
    <w:rsid w:val="0048004F"/>
    <w:rsid w:val="00480123"/>
    <w:rsid w:val="00480ABF"/>
    <w:rsid w:val="004811C1"/>
    <w:rsid w:val="0048144F"/>
    <w:rsid w:val="00481670"/>
    <w:rsid w:val="00482724"/>
    <w:rsid w:val="00482DD2"/>
    <w:rsid w:val="00483237"/>
    <w:rsid w:val="00484338"/>
    <w:rsid w:val="004856EC"/>
    <w:rsid w:val="00485D13"/>
    <w:rsid w:val="00485E98"/>
    <w:rsid w:val="00491BC8"/>
    <w:rsid w:val="00492A55"/>
    <w:rsid w:val="00492B10"/>
    <w:rsid w:val="00494019"/>
    <w:rsid w:val="004961F9"/>
    <w:rsid w:val="0049704D"/>
    <w:rsid w:val="004A0CAE"/>
    <w:rsid w:val="004A0CE7"/>
    <w:rsid w:val="004A20A2"/>
    <w:rsid w:val="004A2124"/>
    <w:rsid w:val="004A3EC9"/>
    <w:rsid w:val="004A5204"/>
    <w:rsid w:val="004A6299"/>
    <w:rsid w:val="004B1291"/>
    <w:rsid w:val="004B3529"/>
    <w:rsid w:val="004B4C68"/>
    <w:rsid w:val="004B63B6"/>
    <w:rsid w:val="004B747C"/>
    <w:rsid w:val="004C1C2A"/>
    <w:rsid w:val="004C7D2C"/>
    <w:rsid w:val="004D066A"/>
    <w:rsid w:val="004D2278"/>
    <w:rsid w:val="004D230B"/>
    <w:rsid w:val="004D2A68"/>
    <w:rsid w:val="004D2E1D"/>
    <w:rsid w:val="004D3E23"/>
    <w:rsid w:val="004D5895"/>
    <w:rsid w:val="004D619C"/>
    <w:rsid w:val="004D7D0F"/>
    <w:rsid w:val="004E1EA4"/>
    <w:rsid w:val="004E35EB"/>
    <w:rsid w:val="004E3CFA"/>
    <w:rsid w:val="004E5895"/>
    <w:rsid w:val="004F10CD"/>
    <w:rsid w:val="004F26D4"/>
    <w:rsid w:val="004F4DA5"/>
    <w:rsid w:val="004F53A4"/>
    <w:rsid w:val="004F5790"/>
    <w:rsid w:val="004F6860"/>
    <w:rsid w:val="004F7618"/>
    <w:rsid w:val="00500361"/>
    <w:rsid w:val="00500712"/>
    <w:rsid w:val="00502186"/>
    <w:rsid w:val="00502557"/>
    <w:rsid w:val="005069D7"/>
    <w:rsid w:val="0050737A"/>
    <w:rsid w:val="005107ED"/>
    <w:rsid w:val="00511387"/>
    <w:rsid w:val="00513762"/>
    <w:rsid w:val="0051485C"/>
    <w:rsid w:val="00514967"/>
    <w:rsid w:val="00515447"/>
    <w:rsid w:val="00515465"/>
    <w:rsid w:val="0051639F"/>
    <w:rsid w:val="00517708"/>
    <w:rsid w:val="0052154E"/>
    <w:rsid w:val="005221C9"/>
    <w:rsid w:val="0052352A"/>
    <w:rsid w:val="00523B3C"/>
    <w:rsid w:val="005271FD"/>
    <w:rsid w:val="00530B3A"/>
    <w:rsid w:val="005343DE"/>
    <w:rsid w:val="005349E6"/>
    <w:rsid w:val="00535312"/>
    <w:rsid w:val="00535414"/>
    <w:rsid w:val="00536C22"/>
    <w:rsid w:val="00537F94"/>
    <w:rsid w:val="005416F4"/>
    <w:rsid w:val="005431DC"/>
    <w:rsid w:val="00543306"/>
    <w:rsid w:val="00543463"/>
    <w:rsid w:val="00544AB4"/>
    <w:rsid w:val="00545792"/>
    <w:rsid w:val="0054648F"/>
    <w:rsid w:val="005500C2"/>
    <w:rsid w:val="005502B8"/>
    <w:rsid w:val="0055057A"/>
    <w:rsid w:val="005517AD"/>
    <w:rsid w:val="005534E7"/>
    <w:rsid w:val="00554767"/>
    <w:rsid w:val="00554CAB"/>
    <w:rsid w:val="00557832"/>
    <w:rsid w:val="00562345"/>
    <w:rsid w:val="00562E9A"/>
    <w:rsid w:val="00565EDD"/>
    <w:rsid w:val="005737A7"/>
    <w:rsid w:val="00573ABD"/>
    <w:rsid w:val="00574401"/>
    <w:rsid w:val="00575F01"/>
    <w:rsid w:val="0057634D"/>
    <w:rsid w:val="00583664"/>
    <w:rsid w:val="00583B59"/>
    <w:rsid w:val="0058605D"/>
    <w:rsid w:val="00586E9F"/>
    <w:rsid w:val="00587409"/>
    <w:rsid w:val="00587C32"/>
    <w:rsid w:val="00587E75"/>
    <w:rsid w:val="00592C1D"/>
    <w:rsid w:val="00593A22"/>
    <w:rsid w:val="005942D2"/>
    <w:rsid w:val="00594F66"/>
    <w:rsid w:val="005974C5"/>
    <w:rsid w:val="00597BB4"/>
    <w:rsid w:val="00597E88"/>
    <w:rsid w:val="005A022D"/>
    <w:rsid w:val="005A0826"/>
    <w:rsid w:val="005A1F64"/>
    <w:rsid w:val="005A32E8"/>
    <w:rsid w:val="005A59BB"/>
    <w:rsid w:val="005A7820"/>
    <w:rsid w:val="005B0032"/>
    <w:rsid w:val="005B3BC5"/>
    <w:rsid w:val="005B3D9B"/>
    <w:rsid w:val="005B4192"/>
    <w:rsid w:val="005B446F"/>
    <w:rsid w:val="005C04C5"/>
    <w:rsid w:val="005C069C"/>
    <w:rsid w:val="005C07FF"/>
    <w:rsid w:val="005C32E3"/>
    <w:rsid w:val="005C3CC2"/>
    <w:rsid w:val="005C4366"/>
    <w:rsid w:val="005C4F93"/>
    <w:rsid w:val="005C57C3"/>
    <w:rsid w:val="005C60DA"/>
    <w:rsid w:val="005C773F"/>
    <w:rsid w:val="005C7CD7"/>
    <w:rsid w:val="005C7E6D"/>
    <w:rsid w:val="005C7EF3"/>
    <w:rsid w:val="005D1B6A"/>
    <w:rsid w:val="005D3FE7"/>
    <w:rsid w:val="005D4A90"/>
    <w:rsid w:val="005D5A06"/>
    <w:rsid w:val="005D7020"/>
    <w:rsid w:val="005D78B1"/>
    <w:rsid w:val="005E1661"/>
    <w:rsid w:val="005E277E"/>
    <w:rsid w:val="005E28D4"/>
    <w:rsid w:val="005E4036"/>
    <w:rsid w:val="005E5A2C"/>
    <w:rsid w:val="005E75F5"/>
    <w:rsid w:val="005E7F64"/>
    <w:rsid w:val="005F0484"/>
    <w:rsid w:val="005F1E79"/>
    <w:rsid w:val="005F29B0"/>
    <w:rsid w:val="005F3B8D"/>
    <w:rsid w:val="005F4EE7"/>
    <w:rsid w:val="005F5D18"/>
    <w:rsid w:val="005F73E8"/>
    <w:rsid w:val="005F7A63"/>
    <w:rsid w:val="0060098B"/>
    <w:rsid w:val="00601D2C"/>
    <w:rsid w:val="00602A29"/>
    <w:rsid w:val="006032BE"/>
    <w:rsid w:val="006038AC"/>
    <w:rsid w:val="006045CE"/>
    <w:rsid w:val="00610276"/>
    <w:rsid w:val="00611545"/>
    <w:rsid w:val="006119F9"/>
    <w:rsid w:val="0061349E"/>
    <w:rsid w:val="006166C3"/>
    <w:rsid w:val="00616947"/>
    <w:rsid w:val="00617F92"/>
    <w:rsid w:val="00620B70"/>
    <w:rsid w:val="00620B8C"/>
    <w:rsid w:val="00620E46"/>
    <w:rsid w:val="006226AB"/>
    <w:rsid w:val="00623589"/>
    <w:rsid w:val="00623E44"/>
    <w:rsid w:val="00624256"/>
    <w:rsid w:val="00625FB6"/>
    <w:rsid w:val="00626528"/>
    <w:rsid w:val="0062681C"/>
    <w:rsid w:val="00626887"/>
    <w:rsid w:val="00630497"/>
    <w:rsid w:val="0063103D"/>
    <w:rsid w:val="00633DCF"/>
    <w:rsid w:val="00635056"/>
    <w:rsid w:val="006353C4"/>
    <w:rsid w:val="00635CC0"/>
    <w:rsid w:val="00636607"/>
    <w:rsid w:val="00640DEE"/>
    <w:rsid w:val="00642610"/>
    <w:rsid w:val="0064332A"/>
    <w:rsid w:val="00643567"/>
    <w:rsid w:val="00643D7A"/>
    <w:rsid w:val="0064528E"/>
    <w:rsid w:val="00645A43"/>
    <w:rsid w:val="00646A5C"/>
    <w:rsid w:val="00651AB0"/>
    <w:rsid w:val="00653DF7"/>
    <w:rsid w:val="0065494F"/>
    <w:rsid w:val="006549E2"/>
    <w:rsid w:val="00655399"/>
    <w:rsid w:val="0065650E"/>
    <w:rsid w:val="006571D2"/>
    <w:rsid w:val="0065726C"/>
    <w:rsid w:val="00661C0E"/>
    <w:rsid w:val="00662639"/>
    <w:rsid w:val="00663705"/>
    <w:rsid w:val="006643F1"/>
    <w:rsid w:val="006645E2"/>
    <w:rsid w:val="00665175"/>
    <w:rsid w:val="006669F5"/>
    <w:rsid w:val="00666E2E"/>
    <w:rsid w:val="00666F66"/>
    <w:rsid w:val="00667DAD"/>
    <w:rsid w:val="006711F1"/>
    <w:rsid w:val="00672954"/>
    <w:rsid w:val="006738BF"/>
    <w:rsid w:val="00674532"/>
    <w:rsid w:val="0067626A"/>
    <w:rsid w:val="006766F0"/>
    <w:rsid w:val="00676AB3"/>
    <w:rsid w:val="00677A4C"/>
    <w:rsid w:val="006808FA"/>
    <w:rsid w:val="0068166D"/>
    <w:rsid w:val="00681B23"/>
    <w:rsid w:val="00682340"/>
    <w:rsid w:val="006854C3"/>
    <w:rsid w:val="00687840"/>
    <w:rsid w:val="006938E0"/>
    <w:rsid w:val="006977A2"/>
    <w:rsid w:val="00697A4A"/>
    <w:rsid w:val="00697A62"/>
    <w:rsid w:val="006A0672"/>
    <w:rsid w:val="006A0FFE"/>
    <w:rsid w:val="006A2A4E"/>
    <w:rsid w:val="006A3386"/>
    <w:rsid w:val="006A3E8B"/>
    <w:rsid w:val="006A4DD1"/>
    <w:rsid w:val="006A5339"/>
    <w:rsid w:val="006A5FD1"/>
    <w:rsid w:val="006B0257"/>
    <w:rsid w:val="006B0732"/>
    <w:rsid w:val="006B0BFE"/>
    <w:rsid w:val="006B4FC2"/>
    <w:rsid w:val="006B58FD"/>
    <w:rsid w:val="006C1D73"/>
    <w:rsid w:val="006C1DF7"/>
    <w:rsid w:val="006C24DE"/>
    <w:rsid w:val="006C32DF"/>
    <w:rsid w:val="006C37B4"/>
    <w:rsid w:val="006C42D8"/>
    <w:rsid w:val="006C4C1E"/>
    <w:rsid w:val="006C4CEF"/>
    <w:rsid w:val="006C56F0"/>
    <w:rsid w:val="006C681E"/>
    <w:rsid w:val="006C6941"/>
    <w:rsid w:val="006C74E8"/>
    <w:rsid w:val="006D038C"/>
    <w:rsid w:val="006D12CB"/>
    <w:rsid w:val="006D28EA"/>
    <w:rsid w:val="006D3147"/>
    <w:rsid w:val="006E0D8A"/>
    <w:rsid w:val="006E1553"/>
    <w:rsid w:val="006E1AF9"/>
    <w:rsid w:val="006E33B6"/>
    <w:rsid w:val="006E636F"/>
    <w:rsid w:val="006E6C46"/>
    <w:rsid w:val="006E7A93"/>
    <w:rsid w:val="006F2704"/>
    <w:rsid w:val="006F289E"/>
    <w:rsid w:val="006F3AAB"/>
    <w:rsid w:val="006F489A"/>
    <w:rsid w:val="006F4E24"/>
    <w:rsid w:val="006F5613"/>
    <w:rsid w:val="006F76D1"/>
    <w:rsid w:val="00700DC8"/>
    <w:rsid w:val="00701544"/>
    <w:rsid w:val="00701743"/>
    <w:rsid w:val="00701D47"/>
    <w:rsid w:val="00702A36"/>
    <w:rsid w:val="00702D86"/>
    <w:rsid w:val="00707F50"/>
    <w:rsid w:val="007101DB"/>
    <w:rsid w:val="007108BF"/>
    <w:rsid w:val="00711126"/>
    <w:rsid w:val="00711F70"/>
    <w:rsid w:val="00712DC6"/>
    <w:rsid w:val="0071311A"/>
    <w:rsid w:val="0071475B"/>
    <w:rsid w:val="00715559"/>
    <w:rsid w:val="0071786D"/>
    <w:rsid w:val="00717C5E"/>
    <w:rsid w:val="00717E05"/>
    <w:rsid w:val="00720403"/>
    <w:rsid w:val="00720825"/>
    <w:rsid w:val="00720AD0"/>
    <w:rsid w:val="00720AD1"/>
    <w:rsid w:val="007234E0"/>
    <w:rsid w:val="00725CC8"/>
    <w:rsid w:val="0072602E"/>
    <w:rsid w:val="0073257C"/>
    <w:rsid w:val="00734ADF"/>
    <w:rsid w:val="00735687"/>
    <w:rsid w:val="00736D68"/>
    <w:rsid w:val="00737255"/>
    <w:rsid w:val="00737D19"/>
    <w:rsid w:val="007410E3"/>
    <w:rsid w:val="0074218C"/>
    <w:rsid w:val="00742266"/>
    <w:rsid w:val="00743B8A"/>
    <w:rsid w:val="00744355"/>
    <w:rsid w:val="007447B6"/>
    <w:rsid w:val="00744BED"/>
    <w:rsid w:val="00745A1C"/>
    <w:rsid w:val="00745D63"/>
    <w:rsid w:val="00747E12"/>
    <w:rsid w:val="00747E9A"/>
    <w:rsid w:val="007522CA"/>
    <w:rsid w:val="00752317"/>
    <w:rsid w:val="00754B0C"/>
    <w:rsid w:val="00754E5D"/>
    <w:rsid w:val="00755290"/>
    <w:rsid w:val="007553E0"/>
    <w:rsid w:val="00756E88"/>
    <w:rsid w:val="00757086"/>
    <w:rsid w:val="0075710F"/>
    <w:rsid w:val="0075762A"/>
    <w:rsid w:val="007601D8"/>
    <w:rsid w:val="00760491"/>
    <w:rsid w:val="00762D53"/>
    <w:rsid w:val="00763A98"/>
    <w:rsid w:val="0076448C"/>
    <w:rsid w:val="00764669"/>
    <w:rsid w:val="00764C6E"/>
    <w:rsid w:val="00765249"/>
    <w:rsid w:val="00766BD0"/>
    <w:rsid w:val="00770B19"/>
    <w:rsid w:val="00773B39"/>
    <w:rsid w:val="00773C10"/>
    <w:rsid w:val="00775CEB"/>
    <w:rsid w:val="007764DD"/>
    <w:rsid w:val="007777D6"/>
    <w:rsid w:val="00777AC6"/>
    <w:rsid w:val="00781A02"/>
    <w:rsid w:val="00786020"/>
    <w:rsid w:val="0078632D"/>
    <w:rsid w:val="00786EBD"/>
    <w:rsid w:val="00787027"/>
    <w:rsid w:val="00787772"/>
    <w:rsid w:val="007901F8"/>
    <w:rsid w:val="007907CD"/>
    <w:rsid w:val="00790B62"/>
    <w:rsid w:val="00795E94"/>
    <w:rsid w:val="007966BD"/>
    <w:rsid w:val="007A1B08"/>
    <w:rsid w:val="007A4B67"/>
    <w:rsid w:val="007A5EE3"/>
    <w:rsid w:val="007B0063"/>
    <w:rsid w:val="007B0AB8"/>
    <w:rsid w:val="007B0D79"/>
    <w:rsid w:val="007B28D8"/>
    <w:rsid w:val="007B6451"/>
    <w:rsid w:val="007B76B5"/>
    <w:rsid w:val="007C1B00"/>
    <w:rsid w:val="007C3EB8"/>
    <w:rsid w:val="007C4CAD"/>
    <w:rsid w:val="007C5ED5"/>
    <w:rsid w:val="007C68D5"/>
    <w:rsid w:val="007D178D"/>
    <w:rsid w:val="007D284E"/>
    <w:rsid w:val="007D2906"/>
    <w:rsid w:val="007D397E"/>
    <w:rsid w:val="007D3EDD"/>
    <w:rsid w:val="007D796B"/>
    <w:rsid w:val="007D7C3F"/>
    <w:rsid w:val="007E101C"/>
    <w:rsid w:val="007E2505"/>
    <w:rsid w:val="007E28E2"/>
    <w:rsid w:val="007E2C89"/>
    <w:rsid w:val="007E43C5"/>
    <w:rsid w:val="007E7E02"/>
    <w:rsid w:val="007F1088"/>
    <w:rsid w:val="007F50CD"/>
    <w:rsid w:val="007F7891"/>
    <w:rsid w:val="0080122E"/>
    <w:rsid w:val="00806DCD"/>
    <w:rsid w:val="008078FE"/>
    <w:rsid w:val="008118F6"/>
    <w:rsid w:val="008128F9"/>
    <w:rsid w:val="008155B8"/>
    <w:rsid w:val="00815836"/>
    <w:rsid w:val="00815ECC"/>
    <w:rsid w:val="00816BDC"/>
    <w:rsid w:val="00820166"/>
    <w:rsid w:val="00822B7F"/>
    <w:rsid w:val="0082301A"/>
    <w:rsid w:val="00823292"/>
    <w:rsid w:val="0082331E"/>
    <w:rsid w:val="008255B2"/>
    <w:rsid w:val="00825BB0"/>
    <w:rsid w:val="00825CEB"/>
    <w:rsid w:val="00826B56"/>
    <w:rsid w:val="00834767"/>
    <w:rsid w:val="00835CA6"/>
    <w:rsid w:val="00836938"/>
    <w:rsid w:val="00837982"/>
    <w:rsid w:val="008433A9"/>
    <w:rsid w:val="008438E8"/>
    <w:rsid w:val="00844D88"/>
    <w:rsid w:val="0084521D"/>
    <w:rsid w:val="008455E0"/>
    <w:rsid w:val="00845658"/>
    <w:rsid w:val="00847054"/>
    <w:rsid w:val="00847338"/>
    <w:rsid w:val="00847ADE"/>
    <w:rsid w:val="0085196A"/>
    <w:rsid w:val="00853725"/>
    <w:rsid w:val="008543CD"/>
    <w:rsid w:val="00854FDC"/>
    <w:rsid w:val="00855219"/>
    <w:rsid w:val="00855563"/>
    <w:rsid w:val="00855C25"/>
    <w:rsid w:val="008568B2"/>
    <w:rsid w:val="00857C82"/>
    <w:rsid w:val="0086120B"/>
    <w:rsid w:val="00862521"/>
    <w:rsid w:val="0086272D"/>
    <w:rsid w:val="00863E31"/>
    <w:rsid w:val="008646AD"/>
    <w:rsid w:val="008662ED"/>
    <w:rsid w:val="008664AB"/>
    <w:rsid w:val="00870C87"/>
    <w:rsid w:val="00874C55"/>
    <w:rsid w:val="008753D5"/>
    <w:rsid w:val="0087544F"/>
    <w:rsid w:val="00876190"/>
    <w:rsid w:val="0088127D"/>
    <w:rsid w:val="00881F49"/>
    <w:rsid w:val="00885581"/>
    <w:rsid w:val="008861B2"/>
    <w:rsid w:val="0088657E"/>
    <w:rsid w:val="00887A8B"/>
    <w:rsid w:val="00891420"/>
    <w:rsid w:val="0089518C"/>
    <w:rsid w:val="008953EC"/>
    <w:rsid w:val="008961BA"/>
    <w:rsid w:val="008975DA"/>
    <w:rsid w:val="008978DB"/>
    <w:rsid w:val="008A18D5"/>
    <w:rsid w:val="008A1E32"/>
    <w:rsid w:val="008A1E86"/>
    <w:rsid w:val="008A767C"/>
    <w:rsid w:val="008A7F80"/>
    <w:rsid w:val="008B022A"/>
    <w:rsid w:val="008B38A5"/>
    <w:rsid w:val="008C03F5"/>
    <w:rsid w:val="008C0815"/>
    <w:rsid w:val="008C1B2C"/>
    <w:rsid w:val="008C2101"/>
    <w:rsid w:val="008C3136"/>
    <w:rsid w:val="008C3DAA"/>
    <w:rsid w:val="008D1066"/>
    <w:rsid w:val="008D1F8D"/>
    <w:rsid w:val="008D51B4"/>
    <w:rsid w:val="008D61CB"/>
    <w:rsid w:val="008D7362"/>
    <w:rsid w:val="008D7420"/>
    <w:rsid w:val="008E0E36"/>
    <w:rsid w:val="008E10A3"/>
    <w:rsid w:val="008E1D86"/>
    <w:rsid w:val="008E3387"/>
    <w:rsid w:val="008E5ADA"/>
    <w:rsid w:val="008E66F9"/>
    <w:rsid w:val="008E6A8C"/>
    <w:rsid w:val="008E6E18"/>
    <w:rsid w:val="008E6E83"/>
    <w:rsid w:val="008E6FB6"/>
    <w:rsid w:val="008E7451"/>
    <w:rsid w:val="008E74D4"/>
    <w:rsid w:val="008E76EF"/>
    <w:rsid w:val="008F1017"/>
    <w:rsid w:val="008F20D9"/>
    <w:rsid w:val="008F27C5"/>
    <w:rsid w:val="008F2EEC"/>
    <w:rsid w:val="008F4FA9"/>
    <w:rsid w:val="008F7C5C"/>
    <w:rsid w:val="009008A4"/>
    <w:rsid w:val="00900ACC"/>
    <w:rsid w:val="00904658"/>
    <w:rsid w:val="00905E8F"/>
    <w:rsid w:val="00906817"/>
    <w:rsid w:val="0090775F"/>
    <w:rsid w:val="0091073F"/>
    <w:rsid w:val="00912C80"/>
    <w:rsid w:val="009134FC"/>
    <w:rsid w:val="00913FE4"/>
    <w:rsid w:val="00915AF6"/>
    <w:rsid w:val="00915CDD"/>
    <w:rsid w:val="009162BF"/>
    <w:rsid w:val="00916DE4"/>
    <w:rsid w:val="00920552"/>
    <w:rsid w:val="00921ACF"/>
    <w:rsid w:val="009246BE"/>
    <w:rsid w:val="00931546"/>
    <w:rsid w:val="009331E2"/>
    <w:rsid w:val="00933658"/>
    <w:rsid w:val="00933E39"/>
    <w:rsid w:val="00936597"/>
    <w:rsid w:val="00936D12"/>
    <w:rsid w:val="00941ECF"/>
    <w:rsid w:val="00942E3A"/>
    <w:rsid w:val="00944002"/>
    <w:rsid w:val="00944236"/>
    <w:rsid w:val="0094514E"/>
    <w:rsid w:val="009453E5"/>
    <w:rsid w:val="009465FC"/>
    <w:rsid w:val="009479E2"/>
    <w:rsid w:val="00947E6F"/>
    <w:rsid w:val="00950F18"/>
    <w:rsid w:val="00951EAA"/>
    <w:rsid w:val="00951EC1"/>
    <w:rsid w:val="00953712"/>
    <w:rsid w:val="00953EE7"/>
    <w:rsid w:val="0095435A"/>
    <w:rsid w:val="00956766"/>
    <w:rsid w:val="009611F6"/>
    <w:rsid w:val="00961EA4"/>
    <w:rsid w:val="00961EAB"/>
    <w:rsid w:val="00962219"/>
    <w:rsid w:val="00964E5A"/>
    <w:rsid w:val="009700AE"/>
    <w:rsid w:val="00970454"/>
    <w:rsid w:val="009726E7"/>
    <w:rsid w:val="00974A07"/>
    <w:rsid w:val="0097682E"/>
    <w:rsid w:val="00976AD3"/>
    <w:rsid w:val="009807F2"/>
    <w:rsid w:val="0098146A"/>
    <w:rsid w:val="0098465D"/>
    <w:rsid w:val="00984E28"/>
    <w:rsid w:val="009857C7"/>
    <w:rsid w:val="0098611D"/>
    <w:rsid w:val="009865E0"/>
    <w:rsid w:val="00986EED"/>
    <w:rsid w:val="009901F0"/>
    <w:rsid w:val="0099078F"/>
    <w:rsid w:val="00992E98"/>
    <w:rsid w:val="00993533"/>
    <w:rsid w:val="00994BF9"/>
    <w:rsid w:val="00996914"/>
    <w:rsid w:val="00997381"/>
    <w:rsid w:val="009A1A36"/>
    <w:rsid w:val="009A1C1F"/>
    <w:rsid w:val="009A2BBD"/>
    <w:rsid w:val="009A3898"/>
    <w:rsid w:val="009A4513"/>
    <w:rsid w:val="009A5FDB"/>
    <w:rsid w:val="009A7505"/>
    <w:rsid w:val="009B0745"/>
    <w:rsid w:val="009B077D"/>
    <w:rsid w:val="009B0FB8"/>
    <w:rsid w:val="009B30FB"/>
    <w:rsid w:val="009B35EE"/>
    <w:rsid w:val="009B373E"/>
    <w:rsid w:val="009B3DA0"/>
    <w:rsid w:val="009B45CD"/>
    <w:rsid w:val="009B4F8C"/>
    <w:rsid w:val="009B7310"/>
    <w:rsid w:val="009B7A53"/>
    <w:rsid w:val="009C057A"/>
    <w:rsid w:val="009C19EE"/>
    <w:rsid w:val="009C37ED"/>
    <w:rsid w:val="009C511B"/>
    <w:rsid w:val="009C58A3"/>
    <w:rsid w:val="009C60CD"/>
    <w:rsid w:val="009C720C"/>
    <w:rsid w:val="009C7D10"/>
    <w:rsid w:val="009D3D74"/>
    <w:rsid w:val="009D5AC7"/>
    <w:rsid w:val="009D681F"/>
    <w:rsid w:val="009D6F5D"/>
    <w:rsid w:val="009E1018"/>
    <w:rsid w:val="009E15AF"/>
    <w:rsid w:val="009E25B6"/>
    <w:rsid w:val="009E36C0"/>
    <w:rsid w:val="009E417C"/>
    <w:rsid w:val="009E4C99"/>
    <w:rsid w:val="009E5184"/>
    <w:rsid w:val="009E7E5A"/>
    <w:rsid w:val="009F3E55"/>
    <w:rsid w:val="009F5391"/>
    <w:rsid w:val="009F68A4"/>
    <w:rsid w:val="00A0113D"/>
    <w:rsid w:val="00A01BF9"/>
    <w:rsid w:val="00A03409"/>
    <w:rsid w:val="00A03DB6"/>
    <w:rsid w:val="00A04E04"/>
    <w:rsid w:val="00A06B4E"/>
    <w:rsid w:val="00A07BAB"/>
    <w:rsid w:val="00A10148"/>
    <w:rsid w:val="00A1131C"/>
    <w:rsid w:val="00A116AC"/>
    <w:rsid w:val="00A142E9"/>
    <w:rsid w:val="00A167EE"/>
    <w:rsid w:val="00A202E6"/>
    <w:rsid w:val="00A20BB7"/>
    <w:rsid w:val="00A218D6"/>
    <w:rsid w:val="00A25901"/>
    <w:rsid w:val="00A26657"/>
    <w:rsid w:val="00A2675C"/>
    <w:rsid w:val="00A30341"/>
    <w:rsid w:val="00A30A4E"/>
    <w:rsid w:val="00A34615"/>
    <w:rsid w:val="00A347FB"/>
    <w:rsid w:val="00A37CB8"/>
    <w:rsid w:val="00A4096B"/>
    <w:rsid w:val="00A40F56"/>
    <w:rsid w:val="00A42654"/>
    <w:rsid w:val="00A46BB1"/>
    <w:rsid w:val="00A46BBE"/>
    <w:rsid w:val="00A47B60"/>
    <w:rsid w:val="00A50DEF"/>
    <w:rsid w:val="00A525A9"/>
    <w:rsid w:val="00A54E19"/>
    <w:rsid w:val="00A55D8B"/>
    <w:rsid w:val="00A55F17"/>
    <w:rsid w:val="00A614B7"/>
    <w:rsid w:val="00A62C8A"/>
    <w:rsid w:val="00A62FB4"/>
    <w:rsid w:val="00A64173"/>
    <w:rsid w:val="00A6547C"/>
    <w:rsid w:val="00A66285"/>
    <w:rsid w:val="00A66C5A"/>
    <w:rsid w:val="00A66D74"/>
    <w:rsid w:val="00A67AE2"/>
    <w:rsid w:val="00A67BC0"/>
    <w:rsid w:val="00A709E0"/>
    <w:rsid w:val="00A749D9"/>
    <w:rsid w:val="00A75155"/>
    <w:rsid w:val="00A7564B"/>
    <w:rsid w:val="00A817C3"/>
    <w:rsid w:val="00A82C12"/>
    <w:rsid w:val="00A841AC"/>
    <w:rsid w:val="00A85034"/>
    <w:rsid w:val="00A85B9C"/>
    <w:rsid w:val="00A86431"/>
    <w:rsid w:val="00A86ADA"/>
    <w:rsid w:val="00A87BAC"/>
    <w:rsid w:val="00A91432"/>
    <w:rsid w:val="00A91D7C"/>
    <w:rsid w:val="00A922A9"/>
    <w:rsid w:val="00A9244B"/>
    <w:rsid w:val="00A93008"/>
    <w:rsid w:val="00A95AD3"/>
    <w:rsid w:val="00A965F0"/>
    <w:rsid w:val="00A9793B"/>
    <w:rsid w:val="00AA01DD"/>
    <w:rsid w:val="00AA088C"/>
    <w:rsid w:val="00AA2D38"/>
    <w:rsid w:val="00AA2FFD"/>
    <w:rsid w:val="00AA3A29"/>
    <w:rsid w:val="00AA4152"/>
    <w:rsid w:val="00AA44E9"/>
    <w:rsid w:val="00AA6459"/>
    <w:rsid w:val="00AA73A4"/>
    <w:rsid w:val="00AB0307"/>
    <w:rsid w:val="00AB0498"/>
    <w:rsid w:val="00AB14F7"/>
    <w:rsid w:val="00AB56B5"/>
    <w:rsid w:val="00AB6AE5"/>
    <w:rsid w:val="00AB6CF4"/>
    <w:rsid w:val="00AB6F7B"/>
    <w:rsid w:val="00AB7786"/>
    <w:rsid w:val="00AB7CA0"/>
    <w:rsid w:val="00AC004C"/>
    <w:rsid w:val="00AC4C16"/>
    <w:rsid w:val="00AC4F11"/>
    <w:rsid w:val="00AC61C8"/>
    <w:rsid w:val="00AD0F55"/>
    <w:rsid w:val="00AD23AC"/>
    <w:rsid w:val="00AD7673"/>
    <w:rsid w:val="00AD79EF"/>
    <w:rsid w:val="00AE1CDC"/>
    <w:rsid w:val="00AE27D0"/>
    <w:rsid w:val="00AE7651"/>
    <w:rsid w:val="00AE7844"/>
    <w:rsid w:val="00AF1720"/>
    <w:rsid w:val="00AF1D10"/>
    <w:rsid w:val="00AF2396"/>
    <w:rsid w:val="00AF2C38"/>
    <w:rsid w:val="00AF48D3"/>
    <w:rsid w:val="00AF67EC"/>
    <w:rsid w:val="00AF6BAD"/>
    <w:rsid w:val="00AF6F21"/>
    <w:rsid w:val="00AF7298"/>
    <w:rsid w:val="00B00858"/>
    <w:rsid w:val="00B0094D"/>
    <w:rsid w:val="00B029E1"/>
    <w:rsid w:val="00B04518"/>
    <w:rsid w:val="00B05568"/>
    <w:rsid w:val="00B06114"/>
    <w:rsid w:val="00B06ED0"/>
    <w:rsid w:val="00B0737A"/>
    <w:rsid w:val="00B0796D"/>
    <w:rsid w:val="00B17359"/>
    <w:rsid w:val="00B17EE1"/>
    <w:rsid w:val="00B20278"/>
    <w:rsid w:val="00B202CA"/>
    <w:rsid w:val="00B218D8"/>
    <w:rsid w:val="00B27DA0"/>
    <w:rsid w:val="00B30077"/>
    <w:rsid w:val="00B312EA"/>
    <w:rsid w:val="00B32235"/>
    <w:rsid w:val="00B3237D"/>
    <w:rsid w:val="00B3432E"/>
    <w:rsid w:val="00B3463A"/>
    <w:rsid w:val="00B35B40"/>
    <w:rsid w:val="00B36797"/>
    <w:rsid w:val="00B37947"/>
    <w:rsid w:val="00B40DE6"/>
    <w:rsid w:val="00B41708"/>
    <w:rsid w:val="00B41EEF"/>
    <w:rsid w:val="00B432C7"/>
    <w:rsid w:val="00B4512F"/>
    <w:rsid w:val="00B45DAF"/>
    <w:rsid w:val="00B47682"/>
    <w:rsid w:val="00B47E8C"/>
    <w:rsid w:val="00B547AE"/>
    <w:rsid w:val="00B56AD2"/>
    <w:rsid w:val="00B60244"/>
    <w:rsid w:val="00B610ED"/>
    <w:rsid w:val="00B627DE"/>
    <w:rsid w:val="00B65FA6"/>
    <w:rsid w:val="00B705EF"/>
    <w:rsid w:val="00B721B5"/>
    <w:rsid w:val="00B73716"/>
    <w:rsid w:val="00B7668F"/>
    <w:rsid w:val="00B76973"/>
    <w:rsid w:val="00B769C4"/>
    <w:rsid w:val="00B804B3"/>
    <w:rsid w:val="00B81790"/>
    <w:rsid w:val="00B83BED"/>
    <w:rsid w:val="00B83D40"/>
    <w:rsid w:val="00B86ACE"/>
    <w:rsid w:val="00B922C6"/>
    <w:rsid w:val="00B94A48"/>
    <w:rsid w:val="00B958C9"/>
    <w:rsid w:val="00B96CB0"/>
    <w:rsid w:val="00BA0D18"/>
    <w:rsid w:val="00BA22CD"/>
    <w:rsid w:val="00BA2382"/>
    <w:rsid w:val="00BA5A5E"/>
    <w:rsid w:val="00BA5F43"/>
    <w:rsid w:val="00BA7AF2"/>
    <w:rsid w:val="00BB1140"/>
    <w:rsid w:val="00BB2E75"/>
    <w:rsid w:val="00BB33F4"/>
    <w:rsid w:val="00BB6717"/>
    <w:rsid w:val="00BC0549"/>
    <w:rsid w:val="00BC21B0"/>
    <w:rsid w:val="00BC2453"/>
    <w:rsid w:val="00BC49CD"/>
    <w:rsid w:val="00BC6D89"/>
    <w:rsid w:val="00BC7BB2"/>
    <w:rsid w:val="00BC7E97"/>
    <w:rsid w:val="00BD1DCF"/>
    <w:rsid w:val="00BD23A8"/>
    <w:rsid w:val="00BD2965"/>
    <w:rsid w:val="00BD3086"/>
    <w:rsid w:val="00BD7946"/>
    <w:rsid w:val="00BD7D36"/>
    <w:rsid w:val="00BE1085"/>
    <w:rsid w:val="00BE1AD1"/>
    <w:rsid w:val="00BE289F"/>
    <w:rsid w:val="00BE329A"/>
    <w:rsid w:val="00BE329E"/>
    <w:rsid w:val="00BE3E09"/>
    <w:rsid w:val="00BE453C"/>
    <w:rsid w:val="00BE73CF"/>
    <w:rsid w:val="00BF0625"/>
    <w:rsid w:val="00BF22C2"/>
    <w:rsid w:val="00BF269D"/>
    <w:rsid w:val="00BF3A2B"/>
    <w:rsid w:val="00BF7586"/>
    <w:rsid w:val="00BF75CD"/>
    <w:rsid w:val="00C00924"/>
    <w:rsid w:val="00C01A1F"/>
    <w:rsid w:val="00C027DC"/>
    <w:rsid w:val="00C03729"/>
    <w:rsid w:val="00C03C0B"/>
    <w:rsid w:val="00C0412E"/>
    <w:rsid w:val="00C07515"/>
    <w:rsid w:val="00C076CF"/>
    <w:rsid w:val="00C0786B"/>
    <w:rsid w:val="00C11528"/>
    <w:rsid w:val="00C144FD"/>
    <w:rsid w:val="00C15315"/>
    <w:rsid w:val="00C16F09"/>
    <w:rsid w:val="00C16F64"/>
    <w:rsid w:val="00C179EE"/>
    <w:rsid w:val="00C17F3C"/>
    <w:rsid w:val="00C22EB5"/>
    <w:rsid w:val="00C230AE"/>
    <w:rsid w:val="00C2516A"/>
    <w:rsid w:val="00C265E8"/>
    <w:rsid w:val="00C26882"/>
    <w:rsid w:val="00C26C0F"/>
    <w:rsid w:val="00C27B63"/>
    <w:rsid w:val="00C301A6"/>
    <w:rsid w:val="00C30EAC"/>
    <w:rsid w:val="00C32192"/>
    <w:rsid w:val="00C33630"/>
    <w:rsid w:val="00C33FE6"/>
    <w:rsid w:val="00C343C9"/>
    <w:rsid w:val="00C35BEF"/>
    <w:rsid w:val="00C35D55"/>
    <w:rsid w:val="00C36334"/>
    <w:rsid w:val="00C41B96"/>
    <w:rsid w:val="00C45C99"/>
    <w:rsid w:val="00C475AE"/>
    <w:rsid w:val="00C5198D"/>
    <w:rsid w:val="00C536E6"/>
    <w:rsid w:val="00C537F4"/>
    <w:rsid w:val="00C559C5"/>
    <w:rsid w:val="00C569E4"/>
    <w:rsid w:val="00C60C73"/>
    <w:rsid w:val="00C6165C"/>
    <w:rsid w:val="00C623F8"/>
    <w:rsid w:val="00C63170"/>
    <w:rsid w:val="00C635C3"/>
    <w:rsid w:val="00C63C62"/>
    <w:rsid w:val="00C63CCC"/>
    <w:rsid w:val="00C66259"/>
    <w:rsid w:val="00C666BA"/>
    <w:rsid w:val="00C67F85"/>
    <w:rsid w:val="00C67FD5"/>
    <w:rsid w:val="00C7087E"/>
    <w:rsid w:val="00C72CD4"/>
    <w:rsid w:val="00C74B9A"/>
    <w:rsid w:val="00C74BDE"/>
    <w:rsid w:val="00C757BC"/>
    <w:rsid w:val="00C7646F"/>
    <w:rsid w:val="00C7715D"/>
    <w:rsid w:val="00C77CB8"/>
    <w:rsid w:val="00C8041D"/>
    <w:rsid w:val="00C82079"/>
    <w:rsid w:val="00C8339A"/>
    <w:rsid w:val="00C834B3"/>
    <w:rsid w:val="00C8419A"/>
    <w:rsid w:val="00C849BE"/>
    <w:rsid w:val="00C85B61"/>
    <w:rsid w:val="00C8607D"/>
    <w:rsid w:val="00C91565"/>
    <w:rsid w:val="00C91B4D"/>
    <w:rsid w:val="00C92D2A"/>
    <w:rsid w:val="00C9324B"/>
    <w:rsid w:val="00C94402"/>
    <w:rsid w:val="00C951B9"/>
    <w:rsid w:val="00C96221"/>
    <w:rsid w:val="00C97EAA"/>
    <w:rsid w:val="00CA31EC"/>
    <w:rsid w:val="00CA3676"/>
    <w:rsid w:val="00CA5BB7"/>
    <w:rsid w:val="00CA6E46"/>
    <w:rsid w:val="00CB0EB3"/>
    <w:rsid w:val="00CB25C7"/>
    <w:rsid w:val="00CB2660"/>
    <w:rsid w:val="00CB3828"/>
    <w:rsid w:val="00CB3EFA"/>
    <w:rsid w:val="00CB650F"/>
    <w:rsid w:val="00CB6D21"/>
    <w:rsid w:val="00CC0BD3"/>
    <w:rsid w:val="00CC2E6C"/>
    <w:rsid w:val="00CC313A"/>
    <w:rsid w:val="00CC5BBE"/>
    <w:rsid w:val="00CC6D54"/>
    <w:rsid w:val="00CC6EB4"/>
    <w:rsid w:val="00CC70CB"/>
    <w:rsid w:val="00CD2129"/>
    <w:rsid w:val="00CD2BB7"/>
    <w:rsid w:val="00CD4357"/>
    <w:rsid w:val="00CD4E09"/>
    <w:rsid w:val="00CD4F00"/>
    <w:rsid w:val="00CD641E"/>
    <w:rsid w:val="00CD6F25"/>
    <w:rsid w:val="00CE02B3"/>
    <w:rsid w:val="00CE5631"/>
    <w:rsid w:val="00CE6B29"/>
    <w:rsid w:val="00CE6F7F"/>
    <w:rsid w:val="00CE708B"/>
    <w:rsid w:val="00CF0509"/>
    <w:rsid w:val="00CF07F7"/>
    <w:rsid w:val="00CF0C56"/>
    <w:rsid w:val="00CF14BF"/>
    <w:rsid w:val="00CF19BD"/>
    <w:rsid w:val="00CF1BD8"/>
    <w:rsid w:val="00CF53A8"/>
    <w:rsid w:val="00CF653C"/>
    <w:rsid w:val="00CF74AD"/>
    <w:rsid w:val="00D00BB1"/>
    <w:rsid w:val="00D01003"/>
    <w:rsid w:val="00D01198"/>
    <w:rsid w:val="00D02F5C"/>
    <w:rsid w:val="00D03F73"/>
    <w:rsid w:val="00D07024"/>
    <w:rsid w:val="00D07188"/>
    <w:rsid w:val="00D1101E"/>
    <w:rsid w:val="00D11256"/>
    <w:rsid w:val="00D12C42"/>
    <w:rsid w:val="00D142D0"/>
    <w:rsid w:val="00D161D6"/>
    <w:rsid w:val="00D20BF0"/>
    <w:rsid w:val="00D21EC7"/>
    <w:rsid w:val="00D24ADC"/>
    <w:rsid w:val="00D2635D"/>
    <w:rsid w:val="00D2706F"/>
    <w:rsid w:val="00D2725A"/>
    <w:rsid w:val="00D27B29"/>
    <w:rsid w:val="00D308A7"/>
    <w:rsid w:val="00D313A4"/>
    <w:rsid w:val="00D32C9A"/>
    <w:rsid w:val="00D33E24"/>
    <w:rsid w:val="00D34488"/>
    <w:rsid w:val="00D35CFA"/>
    <w:rsid w:val="00D4125B"/>
    <w:rsid w:val="00D47461"/>
    <w:rsid w:val="00D47EDC"/>
    <w:rsid w:val="00D508CF"/>
    <w:rsid w:val="00D508EA"/>
    <w:rsid w:val="00D5197E"/>
    <w:rsid w:val="00D53BFE"/>
    <w:rsid w:val="00D54849"/>
    <w:rsid w:val="00D57AC3"/>
    <w:rsid w:val="00D603D5"/>
    <w:rsid w:val="00D6170D"/>
    <w:rsid w:val="00D627B7"/>
    <w:rsid w:val="00D63515"/>
    <w:rsid w:val="00D6527F"/>
    <w:rsid w:val="00D66E12"/>
    <w:rsid w:val="00D66FE8"/>
    <w:rsid w:val="00D676DA"/>
    <w:rsid w:val="00D70256"/>
    <w:rsid w:val="00D72700"/>
    <w:rsid w:val="00D73125"/>
    <w:rsid w:val="00D73779"/>
    <w:rsid w:val="00D7393C"/>
    <w:rsid w:val="00D73F12"/>
    <w:rsid w:val="00D74C57"/>
    <w:rsid w:val="00D75707"/>
    <w:rsid w:val="00D76428"/>
    <w:rsid w:val="00D77E0D"/>
    <w:rsid w:val="00D77F00"/>
    <w:rsid w:val="00D8029D"/>
    <w:rsid w:val="00D81175"/>
    <w:rsid w:val="00D81605"/>
    <w:rsid w:val="00D84210"/>
    <w:rsid w:val="00D84749"/>
    <w:rsid w:val="00D859BB"/>
    <w:rsid w:val="00D872A4"/>
    <w:rsid w:val="00D924A5"/>
    <w:rsid w:val="00D93768"/>
    <w:rsid w:val="00D93995"/>
    <w:rsid w:val="00D97970"/>
    <w:rsid w:val="00D97AC8"/>
    <w:rsid w:val="00D97B5A"/>
    <w:rsid w:val="00D97B79"/>
    <w:rsid w:val="00DA2106"/>
    <w:rsid w:val="00DA32FB"/>
    <w:rsid w:val="00DA3AF3"/>
    <w:rsid w:val="00DA46F6"/>
    <w:rsid w:val="00DA5E9E"/>
    <w:rsid w:val="00DA7586"/>
    <w:rsid w:val="00DA75BF"/>
    <w:rsid w:val="00DA7620"/>
    <w:rsid w:val="00DB007F"/>
    <w:rsid w:val="00DB2003"/>
    <w:rsid w:val="00DB43D5"/>
    <w:rsid w:val="00DB5730"/>
    <w:rsid w:val="00DC021D"/>
    <w:rsid w:val="00DC0482"/>
    <w:rsid w:val="00DC0733"/>
    <w:rsid w:val="00DC2169"/>
    <w:rsid w:val="00DC27B8"/>
    <w:rsid w:val="00DC44FC"/>
    <w:rsid w:val="00DC450B"/>
    <w:rsid w:val="00DC47A9"/>
    <w:rsid w:val="00DC5091"/>
    <w:rsid w:val="00DC612B"/>
    <w:rsid w:val="00DD05D9"/>
    <w:rsid w:val="00DD302B"/>
    <w:rsid w:val="00DD64B8"/>
    <w:rsid w:val="00DD6872"/>
    <w:rsid w:val="00DE244F"/>
    <w:rsid w:val="00DE2912"/>
    <w:rsid w:val="00DE45C1"/>
    <w:rsid w:val="00DE58AB"/>
    <w:rsid w:val="00DE6618"/>
    <w:rsid w:val="00DF0CF3"/>
    <w:rsid w:val="00DF2390"/>
    <w:rsid w:val="00DF255D"/>
    <w:rsid w:val="00DF284E"/>
    <w:rsid w:val="00DF4F81"/>
    <w:rsid w:val="00DF5772"/>
    <w:rsid w:val="00E00C7E"/>
    <w:rsid w:val="00E0255A"/>
    <w:rsid w:val="00E03221"/>
    <w:rsid w:val="00E03CDD"/>
    <w:rsid w:val="00E03E59"/>
    <w:rsid w:val="00E071C5"/>
    <w:rsid w:val="00E07B25"/>
    <w:rsid w:val="00E10208"/>
    <w:rsid w:val="00E11CED"/>
    <w:rsid w:val="00E1467A"/>
    <w:rsid w:val="00E14DBD"/>
    <w:rsid w:val="00E1612A"/>
    <w:rsid w:val="00E16C2F"/>
    <w:rsid w:val="00E172DE"/>
    <w:rsid w:val="00E21F5F"/>
    <w:rsid w:val="00E2334B"/>
    <w:rsid w:val="00E24F9A"/>
    <w:rsid w:val="00E24FA0"/>
    <w:rsid w:val="00E303CF"/>
    <w:rsid w:val="00E3131A"/>
    <w:rsid w:val="00E32046"/>
    <w:rsid w:val="00E3251D"/>
    <w:rsid w:val="00E33DD2"/>
    <w:rsid w:val="00E34BF1"/>
    <w:rsid w:val="00E36611"/>
    <w:rsid w:val="00E36BD0"/>
    <w:rsid w:val="00E37AAE"/>
    <w:rsid w:val="00E4276E"/>
    <w:rsid w:val="00E42E1C"/>
    <w:rsid w:val="00E43430"/>
    <w:rsid w:val="00E44B21"/>
    <w:rsid w:val="00E44E4E"/>
    <w:rsid w:val="00E450B4"/>
    <w:rsid w:val="00E450CF"/>
    <w:rsid w:val="00E45843"/>
    <w:rsid w:val="00E50B62"/>
    <w:rsid w:val="00E51380"/>
    <w:rsid w:val="00E52AA5"/>
    <w:rsid w:val="00E54B65"/>
    <w:rsid w:val="00E54EEE"/>
    <w:rsid w:val="00E55189"/>
    <w:rsid w:val="00E552AA"/>
    <w:rsid w:val="00E56399"/>
    <w:rsid w:val="00E569F2"/>
    <w:rsid w:val="00E5797D"/>
    <w:rsid w:val="00E62375"/>
    <w:rsid w:val="00E62A38"/>
    <w:rsid w:val="00E6360B"/>
    <w:rsid w:val="00E651F7"/>
    <w:rsid w:val="00E656E5"/>
    <w:rsid w:val="00E65A4C"/>
    <w:rsid w:val="00E66E56"/>
    <w:rsid w:val="00E67186"/>
    <w:rsid w:val="00E70FD8"/>
    <w:rsid w:val="00E71B69"/>
    <w:rsid w:val="00E725A1"/>
    <w:rsid w:val="00E72BED"/>
    <w:rsid w:val="00E73B37"/>
    <w:rsid w:val="00E81ACC"/>
    <w:rsid w:val="00E81C52"/>
    <w:rsid w:val="00E83102"/>
    <w:rsid w:val="00E84240"/>
    <w:rsid w:val="00E84990"/>
    <w:rsid w:val="00E85226"/>
    <w:rsid w:val="00E85567"/>
    <w:rsid w:val="00E86BBA"/>
    <w:rsid w:val="00E90C6D"/>
    <w:rsid w:val="00E90F87"/>
    <w:rsid w:val="00E9169F"/>
    <w:rsid w:val="00E95E27"/>
    <w:rsid w:val="00E95FAD"/>
    <w:rsid w:val="00E96EE7"/>
    <w:rsid w:val="00E97494"/>
    <w:rsid w:val="00E97780"/>
    <w:rsid w:val="00EA0B50"/>
    <w:rsid w:val="00EA0C77"/>
    <w:rsid w:val="00EA1BC2"/>
    <w:rsid w:val="00EA44AC"/>
    <w:rsid w:val="00EB0A9C"/>
    <w:rsid w:val="00EB1572"/>
    <w:rsid w:val="00EB378D"/>
    <w:rsid w:val="00EB4D35"/>
    <w:rsid w:val="00EB54B9"/>
    <w:rsid w:val="00EB55DB"/>
    <w:rsid w:val="00EB7C17"/>
    <w:rsid w:val="00EC022E"/>
    <w:rsid w:val="00EC2101"/>
    <w:rsid w:val="00EC5458"/>
    <w:rsid w:val="00EC5FD2"/>
    <w:rsid w:val="00EC65D5"/>
    <w:rsid w:val="00EC7FB5"/>
    <w:rsid w:val="00ED24B0"/>
    <w:rsid w:val="00ED4489"/>
    <w:rsid w:val="00ED7543"/>
    <w:rsid w:val="00ED7ABB"/>
    <w:rsid w:val="00ED7EA2"/>
    <w:rsid w:val="00EE03FE"/>
    <w:rsid w:val="00EE0A89"/>
    <w:rsid w:val="00EE3130"/>
    <w:rsid w:val="00EE31DA"/>
    <w:rsid w:val="00EF0F83"/>
    <w:rsid w:val="00EF0FB7"/>
    <w:rsid w:val="00EF1175"/>
    <w:rsid w:val="00EF11A0"/>
    <w:rsid w:val="00EF1C85"/>
    <w:rsid w:val="00EF1EAD"/>
    <w:rsid w:val="00EF1F48"/>
    <w:rsid w:val="00EF24C9"/>
    <w:rsid w:val="00EF2E02"/>
    <w:rsid w:val="00EF2E6E"/>
    <w:rsid w:val="00EF4773"/>
    <w:rsid w:val="00EF61BF"/>
    <w:rsid w:val="00EF69FF"/>
    <w:rsid w:val="00EF6DF8"/>
    <w:rsid w:val="00EF6EBE"/>
    <w:rsid w:val="00F02E55"/>
    <w:rsid w:val="00F0641D"/>
    <w:rsid w:val="00F067C0"/>
    <w:rsid w:val="00F102CD"/>
    <w:rsid w:val="00F104CB"/>
    <w:rsid w:val="00F11B24"/>
    <w:rsid w:val="00F122AC"/>
    <w:rsid w:val="00F12CDE"/>
    <w:rsid w:val="00F13236"/>
    <w:rsid w:val="00F13A45"/>
    <w:rsid w:val="00F13B43"/>
    <w:rsid w:val="00F14326"/>
    <w:rsid w:val="00F15975"/>
    <w:rsid w:val="00F15C19"/>
    <w:rsid w:val="00F15F6D"/>
    <w:rsid w:val="00F169DD"/>
    <w:rsid w:val="00F16B9E"/>
    <w:rsid w:val="00F16D49"/>
    <w:rsid w:val="00F206DE"/>
    <w:rsid w:val="00F2103B"/>
    <w:rsid w:val="00F21F6A"/>
    <w:rsid w:val="00F24A5B"/>
    <w:rsid w:val="00F24DE5"/>
    <w:rsid w:val="00F251AC"/>
    <w:rsid w:val="00F25921"/>
    <w:rsid w:val="00F31385"/>
    <w:rsid w:val="00F34AF2"/>
    <w:rsid w:val="00F36004"/>
    <w:rsid w:val="00F4089D"/>
    <w:rsid w:val="00F4145F"/>
    <w:rsid w:val="00F416C5"/>
    <w:rsid w:val="00F418D8"/>
    <w:rsid w:val="00F423DC"/>
    <w:rsid w:val="00F4255B"/>
    <w:rsid w:val="00F436DA"/>
    <w:rsid w:val="00F471F8"/>
    <w:rsid w:val="00F47F73"/>
    <w:rsid w:val="00F50255"/>
    <w:rsid w:val="00F51549"/>
    <w:rsid w:val="00F5179B"/>
    <w:rsid w:val="00F51FF9"/>
    <w:rsid w:val="00F5325B"/>
    <w:rsid w:val="00F543CB"/>
    <w:rsid w:val="00F5597C"/>
    <w:rsid w:val="00F56298"/>
    <w:rsid w:val="00F5759A"/>
    <w:rsid w:val="00F605E0"/>
    <w:rsid w:val="00F645E7"/>
    <w:rsid w:val="00F64F3F"/>
    <w:rsid w:val="00F65217"/>
    <w:rsid w:val="00F6549F"/>
    <w:rsid w:val="00F65B2D"/>
    <w:rsid w:val="00F701EF"/>
    <w:rsid w:val="00F70761"/>
    <w:rsid w:val="00F71638"/>
    <w:rsid w:val="00F7245E"/>
    <w:rsid w:val="00F7274F"/>
    <w:rsid w:val="00F73862"/>
    <w:rsid w:val="00F740AF"/>
    <w:rsid w:val="00F74B3E"/>
    <w:rsid w:val="00F753EA"/>
    <w:rsid w:val="00F77FD9"/>
    <w:rsid w:val="00F802E6"/>
    <w:rsid w:val="00F81AF4"/>
    <w:rsid w:val="00F81C7D"/>
    <w:rsid w:val="00F8272D"/>
    <w:rsid w:val="00F83037"/>
    <w:rsid w:val="00F8376B"/>
    <w:rsid w:val="00F837BB"/>
    <w:rsid w:val="00F83BB4"/>
    <w:rsid w:val="00F84976"/>
    <w:rsid w:val="00F84A23"/>
    <w:rsid w:val="00F8545F"/>
    <w:rsid w:val="00F86710"/>
    <w:rsid w:val="00F8695D"/>
    <w:rsid w:val="00F90B31"/>
    <w:rsid w:val="00F91004"/>
    <w:rsid w:val="00F95BF1"/>
    <w:rsid w:val="00F962D2"/>
    <w:rsid w:val="00F9730E"/>
    <w:rsid w:val="00F9759F"/>
    <w:rsid w:val="00F9770A"/>
    <w:rsid w:val="00FA3D5B"/>
    <w:rsid w:val="00FA56ED"/>
    <w:rsid w:val="00FA5B5C"/>
    <w:rsid w:val="00FA70F0"/>
    <w:rsid w:val="00FA7D80"/>
    <w:rsid w:val="00FB20BD"/>
    <w:rsid w:val="00FB3874"/>
    <w:rsid w:val="00FB4F31"/>
    <w:rsid w:val="00FB6325"/>
    <w:rsid w:val="00FB7BAE"/>
    <w:rsid w:val="00FB7EE6"/>
    <w:rsid w:val="00FC26BC"/>
    <w:rsid w:val="00FC2924"/>
    <w:rsid w:val="00FC3473"/>
    <w:rsid w:val="00FC3D6D"/>
    <w:rsid w:val="00FC59CA"/>
    <w:rsid w:val="00FC6B29"/>
    <w:rsid w:val="00FC7207"/>
    <w:rsid w:val="00FD020D"/>
    <w:rsid w:val="00FD0786"/>
    <w:rsid w:val="00FD0EC1"/>
    <w:rsid w:val="00FD1CBD"/>
    <w:rsid w:val="00FD2597"/>
    <w:rsid w:val="00FD2FB3"/>
    <w:rsid w:val="00FD4FFD"/>
    <w:rsid w:val="00FD5412"/>
    <w:rsid w:val="00FD6CB1"/>
    <w:rsid w:val="00FD79DA"/>
    <w:rsid w:val="00FE26C2"/>
    <w:rsid w:val="00FE34C4"/>
    <w:rsid w:val="00FE42BB"/>
    <w:rsid w:val="00FE495D"/>
    <w:rsid w:val="00FE4E37"/>
    <w:rsid w:val="00FE547B"/>
    <w:rsid w:val="00FE61C4"/>
    <w:rsid w:val="00FE6B87"/>
    <w:rsid w:val="00FE7219"/>
    <w:rsid w:val="00FE731F"/>
    <w:rsid w:val="00FE7BDB"/>
    <w:rsid w:val="00FE7D81"/>
    <w:rsid w:val="00FF4383"/>
    <w:rsid w:val="00FF43D7"/>
    <w:rsid w:val="00FF5009"/>
    <w:rsid w:val="00FF541E"/>
    <w:rsid w:val="00FF5DC9"/>
    <w:rsid w:val="00FF6276"/>
    <w:rsid w:val="00FF66AC"/>
    <w:rsid w:val="00FF6F13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34E0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234E0"/>
    <w:pPr>
      <w:keepNext/>
      <w:numPr>
        <w:numId w:val="1"/>
      </w:numPr>
      <w:suppressAutoHyphens/>
      <w:spacing w:after="120" w:line="360" w:lineRule="auto"/>
      <w:outlineLvl w:val="0"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234E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7234E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34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34E0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234E0"/>
    <w:pPr>
      <w:keepNext/>
      <w:numPr>
        <w:numId w:val="1"/>
      </w:numPr>
      <w:suppressAutoHyphens/>
      <w:spacing w:after="120" w:line="360" w:lineRule="auto"/>
      <w:outlineLvl w:val="0"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234E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7234E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34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garonline.com/abstract/9781849800358.x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3757</Characters>
  <Application>Microsoft Office Word</Application>
  <DocSecurity>0</DocSecurity>
  <Lines>75</Lines>
  <Paragraphs>22</Paragraphs>
  <ScaleCrop>false</ScaleCrop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1</cp:revision>
  <dcterms:created xsi:type="dcterms:W3CDTF">2013-05-09T16:12:00Z</dcterms:created>
  <dcterms:modified xsi:type="dcterms:W3CDTF">2013-05-09T16:13:00Z</dcterms:modified>
</cp:coreProperties>
</file>