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A5A" w:rsidRPr="00626A5A" w:rsidRDefault="00626A5A" w:rsidP="00707ECA">
      <w:pPr>
        <w:jc w:val="center"/>
        <w:rPr>
          <w:rFonts w:ascii="Times New Roman" w:hAnsi="Times New Roman" w:cs="Times New Roman"/>
          <w:b/>
          <w:sz w:val="24"/>
          <w:szCs w:val="24"/>
        </w:rPr>
      </w:pPr>
      <w:r w:rsidRPr="00626A5A">
        <w:rPr>
          <w:rFonts w:ascii="Times New Roman" w:hAnsi="Times New Roman" w:cs="Times New Roman"/>
          <w:b/>
          <w:sz w:val="24"/>
          <w:szCs w:val="24"/>
        </w:rPr>
        <w:t>Modifiche alla disciplina del condominio negli edifici apportate dalla legge 11 dicembre 2012 n. 220 (in Gazz. Uff., 17 dicembre 2012, n. 293) – in vigore dal 18 giugno 2013.</w:t>
      </w:r>
    </w:p>
    <w:p w:rsidR="00626A5A" w:rsidRDefault="00626A5A" w:rsidP="00707ECA">
      <w:pPr>
        <w:jc w:val="center"/>
      </w:pPr>
    </w:p>
    <w:p w:rsidR="009F5C9C" w:rsidRPr="00CC289D" w:rsidRDefault="00707ECA" w:rsidP="00707ECA">
      <w:pPr>
        <w:jc w:val="center"/>
        <w:rPr>
          <w:rFonts w:ascii="Times New Roman" w:hAnsi="Times New Roman" w:cs="Times New Roman"/>
          <w:b/>
          <w:sz w:val="24"/>
          <w:szCs w:val="24"/>
        </w:rPr>
      </w:pPr>
      <w:r w:rsidRPr="00CC289D">
        <w:rPr>
          <w:rFonts w:ascii="Times New Roman" w:hAnsi="Times New Roman" w:cs="Times New Roman"/>
          <w:b/>
          <w:sz w:val="24"/>
          <w:szCs w:val="24"/>
        </w:rPr>
        <w:t>Art. 1117</w:t>
      </w:r>
    </w:p>
    <w:p w:rsidR="00707ECA" w:rsidRPr="00CC289D" w:rsidRDefault="00707ECA" w:rsidP="00707ECA">
      <w:pPr>
        <w:jc w:val="center"/>
        <w:rPr>
          <w:rFonts w:ascii="Times New Roman" w:hAnsi="Times New Roman" w:cs="Times New Roman"/>
          <w:b/>
          <w:sz w:val="24"/>
          <w:szCs w:val="24"/>
        </w:rPr>
      </w:pPr>
      <w:r w:rsidRPr="00CC289D">
        <w:rPr>
          <w:rFonts w:ascii="Times New Roman" w:hAnsi="Times New Roman" w:cs="Times New Roman"/>
          <w:b/>
          <w:i/>
          <w:iCs/>
          <w:sz w:val="24"/>
          <w:szCs w:val="24"/>
        </w:rPr>
        <w:t>Parti comuni dell'edificio.</w:t>
      </w:r>
    </w:p>
    <w:p w:rsidR="007616B3" w:rsidRPr="00CC289D" w:rsidRDefault="009F5C9C" w:rsidP="00CC289D">
      <w:pPr>
        <w:jc w:val="both"/>
        <w:rPr>
          <w:rFonts w:ascii="Times New Roman" w:hAnsi="Times New Roman" w:cs="Times New Roman"/>
          <w:sz w:val="24"/>
          <w:szCs w:val="24"/>
        </w:rPr>
      </w:pPr>
      <w:r w:rsidRPr="00CC289D">
        <w:rPr>
          <w:rFonts w:ascii="Times New Roman" w:hAnsi="Times New Roman" w:cs="Times New Roman"/>
          <w:sz w:val="24"/>
          <w:szCs w:val="24"/>
        </w:rPr>
        <w:t>Sono oggetto di proprietà comune dei proprietari delle singole unità immobiliari dell'edificio, anche se aventi diritto a godimento periodico e se non risulta il contrario dal titolo: 1) tutte le parti dell'edificio necessarie all'uso comune, come il suolo su cui sorge l'edificio, le fondazioni, i muri maestri, i pilastri e le travi portanti, i tetti e i lastrici solari, le scale, i portoni di ingresso, i vestiboli, gli anditi, i portici, i cortili e le facciate; 2) le aree destinate a parcheggio nonché i locali per i servizi in comune, come la portineria, incluso l'alloggio del portiere, la lavanderia, gli stenditoi e i sottotetti destinati, per le caratteristiche strutturali e funzionali, all'uso comune; 3) le opere, le installazioni, i manufatti di qualunque genere destinati all'uso comune, come gli ascensori, i pozzi, le cisterne, gli impianti idrici e fognari, i sistemi centralizzati di distribuzione e di trasmissione per il gas, per l'energia elettrica, per il riscaldamento ed il condizionamento dell'aria, per la ricezione radiotelevisiva e per l'accesso a qualunque altro genere di flusso informativo, anche da satellite o via cavo, e i relativi collegamenti fino al punto di diramazione ai locali di proprietà individuale dei singoli condomini, ovvero, in caso di impianti unitari, fino al punto di utenza, salvo quanto disposto dalle normative di settore in materia di reti pubbliche.</w:t>
      </w:r>
    </w:p>
    <w:p w:rsidR="009F5C9C" w:rsidRPr="00CC289D" w:rsidRDefault="009F5C9C">
      <w:pPr>
        <w:rPr>
          <w:rFonts w:ascii="Times New Roman" w:hAnsi="Times New Roman" w:cs="Times New Roman"/>
          <w:sz w:val="24"/>
          <w:szCs w:val="24"/>
        </w:rPr>
      </w:pPr>
    </w:p>
    <w:p w:rsidR="009F5C9C" w:rsidRPr="00CC289D" w:rsidRDefault="00707ECA" w:rsidP="00707ECA">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9F5C9C" w:rsidRPr="00CC289D">
        <w:rPr>
          <w:rFonts w:ascii="Times New Roman" w:hAnsi="Times New Roman" w:cs="Times New Roman"/>
          <w:b/>
          <w:sz w:val="24"/>
          <w:szCs w:val="24"/>
        </w:rPr>
        <w:t>1117 bis</w:t>
      </w:r>
    </w:p>
    <w:p w:rsidR="00707ECA" w:rsidRPr="00CC289D" w:rsidRDefault="00707ECA" w:rsidP="00707ECA">
      <w:pPr>
        <w:jc w:val="center"/>
        <w:rPr>
          <w:rFonts w:ascii="Times New Roman" w:hAnsi="Times New Roman" w:cs="Times New Roman"/>
          <w:b/>
          <w:sz w:val="24"/>
          <w:szCs w:val="24"/>
        </w:rPr>
      </w:pPr>
      <w:r w:rsidRPr="00CC289D">
        <w:rPr>
          <w:rFonts w:ascii="Times New Roman" w:hAnsi="Times New Roman" w:cs="Times New Roman"/>
          <w:b/>
          <w:i/>
          <w:iCs/>
          <w:sz w:val="24"/>
          <w:szCs w:val="24"/>
        </w:rPr>
        <w:t>Ambito di applicabilità</w:t>
      </w:r>
    </w:p>
    <w:p w:rsidR="009F5C9C" w:rsidRPr="00CC289D" w:rsidRDefault="009F5C9C" w:rsidP="00CC289D">
      <w:pPr>
        <w:jc w:val="both"/>
        <w:rPr>
          <w:rFonts w:ascii="Times New Roman" w:hAnsi="Times New Roman" w:cs="Times New Roman"/>
          <w:sz w:val="24"/>
          <w:szCs w:val="24"/>
        </w:rPr>
      </w:pPr>
      <w:r w:rsidRPr="00CC289D">
        <w:rPr>
          <w:rFonts w:ascii="Times New Roman" w:hAnsi="Times New Roman" w:cs="Times New Roman"/>
          <w:sz w:val="24"/>
          <w:szCs w:val="24"/>
        </w:rPr>
        <w:t>Le disposizioni del presente capo si applicano, in quanto compatibili, in tutti i casi in cui più unità immobiliari o più edifici ovvero più condominii di unità immobiliari o di edifici abbiano parti comuni ai sensi dell'articolo 1117.</w:t>
      </w:r>
    </w:p>
    <w:p w:rsidR="00E03339" w:rsidRPr="00CC289D" w:rsidRDefault="00E03339">
      <w:pPr>
        <w:rPr>
          <w:rFonts w:ascii="Times New Roman" w:hAnsi="Times New Roman" w:cs="Times New Roman"/>
          <w:sz w:val="24"/>
          <w:szCs w:val="24"/>
        </w:rPr>
      </w:pPr>
    </w:p>
    <w:p w:rsidR="00E03339" w:rsidRPr="00CC289D" w:rsidRDefault="00707ECA" w:rsidP="00CC289D">
      <w:pPr>
        <w:jc w:val="center"/>
        <w:rPr>
          <w:rFonts w:ascii="Times New Roman" w:eastAsia="Times New Roman" w:hAnsi="Times New Roman" w:cs="Times New Roman"/>
          <w:b/>
          <w:bCs/>
          <w:sz w:val="24"/>
          <w:szCs w:val="24"/>
          <w:lang w:eastAsia="it-IT"/>
        </w:rPr>
      </w:pPr>
      <w:r w:rsidRPr="00CC289D">
        <w:rPr>
          <w:rFonts w:ascii="Times New Roman" w:eastAsia="Times New Roman" w:hAnsi="Times New Roman" w:cs="Times New Roman"/>
          <w:b/>
          <w:bCs/>
          <w:sz w:val="24"/>
          <w:szCs w:val="24"/>
          <w:lang w:eastAsia="it-IT"/>
        </w:rPr>
        <w:t xml:space="preserve">Art. </w:t>
      </w:r>
      <w:r w:rsidR="00E03339" w:rsidRPr="00CC289D">
        <w:rPr>
          <w:rFonts w:ascii="Times New Roman" w:eastAsia="Times New Roman" w:hAnsi="Times New Roman" w:cs="Times New Roman"/>
          <w:b/>
          <w:bCs/>
          <w:sz w:val="24"/>
          <w:szCs w:val="24"/>
          <w:lang w:eastAsia="it-IT"/>
        </w:rPr>
        <w:t>1117 ter</w:t>
      </w:r>
    </w:p>
    <w:p w:rsidR="00707ECA" w:rsidRPr="00CC289D" w:rsidRDefault="00707ECA" w:rsidP="00CC289D">
      <w:pPr>
        <w:jc w:val="center"/>
        <w:rPr>
          <w:rFonts w:ascii="Times New Roman" w:eastAsia="Times New Roman" w:hAnsi="Times New Roman" w:cs="Times New Roman"/>
          <w:b/>
          <w:bCs/>
          <w:sz w:val="24"/>
          <w:szCs w:val="24"/>
          <w:lang w:eastAsia="it-IT"/>
        </w:rPr>
      </w:pPr>
      <w:r w:rsidRPr="00CC289D">
        <w:rPr>
          <w:rFonts w:ascii="Times New Roman" w:hAnsi="Times New Roman" w:cs="Times New Roman"/>
          <w:b/>
          <w:i/>
          <w:iCs/>
          <w:sz w:val="24"/>
          <w:szCs w:val="24"/>
        </w:rPr>
        <w:t>Modificazioni delle destinazioni d'uso</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 xml:space="preserve">Per soddisfare esigenze di interesse condominiale, l'assemblea, con un numero di voti che rappresenti i quattro quinti dei partecipanti al condominio e i quattro quinti del valore dell'edificio, può modificare la destinazione d'uso delle parti comuni. </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La convocazione dell'assemblea deve essere affissa per non meno di trenta giorni consecutivi nei locali di maggior uso comune o negli spazi a tal fine destinati e deve effettuarsi mediante lettera raccomandata o equipollenti mezzi telematici, in modo da pervenire almeno venti giorni prima della data di convocazione.</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La convocazione dell'assemblea, a pena di nullità, deve indicare le parti comuni oggetto della modificazione e la nuova destinazione d'uso.</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 xml:space="preserve">La deliberazione deve contenere la dichiarazione espressa che sono stati effettuati gli adempimenti di cui ai precedenti commi. </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Sono vietate le modificazioni delle destinazioni d'uso che possono recare pregiudizio alla stabilità o alla sicurezza del fabbricato o che ne alterano il decoro architettonico</w:t>
      </w:r>
      <w:r w:rsidR="00CC289D">
        <w:rPr>
          <w:rFonts w:ascii="Times New Roman" w:eastAsia="Times New Roman" w:hAnsi="Times New Roman" w:cs="Times New Roman"/>
          <w:sz w:val="24"/>
          <w:szCs w:val="24"/>
          <w:lang w:eastAsia="it-IT"/>
        </w:rPr>
        <w:t>.</w:t>
      </w:r>
    </w:p>
    <w:p w:rsidR="00E03339" w:rsidRPr="00CC289D" w:rsidRDefault="00E03339">
      <w:pPr>
        <w:rPr>
          <w:rFonts w:ascii="Times New Roman" w:hAnsi="Times New Roman" w:cs="Times New Roman"/>
          <w:sz w:val="24"/>
          <w:szCs w:val="24"/>
        </w:rPr>
      </w:pPr>
    </w:p>
    <w:p w:rsidR="00E03339" w:rsidRPr="00CC289D" w:rsidRDefault="00707ECA" w:rsidP="00CC289D">
      <w:pPr>
        <w:jc w:val="center"/>
        <w:rPr>
          <w:rFonts w:ascii="Times New Roman" w:hAnsi="Times New Roman" w:cs="Times New Roman"/>
          <w:b/>
          <w:bCs/>
          <w:sz w:val="24"/>
          <w:szCs w:val="24"/>
        </w:rPr>
      </w:pPr>
      <w:r w:rsidRPr="00CC289D">
        <w:rPr>
          <w:rFonts w:ascii="Times New Roman" w:hAnsi="Times New Roman" w:cs="Times New Roman"/>
          <w:b/>
          <w:bCs/>
          <w:sz w:val="24"/>
          <w:szCs w:val="24"/>
        </w:rPr>
        <w:t xml:space="preserve">Art. </w:t>
      </w:r>
      <w:r w:rsidR="00E03339" w:rsidRPr="00CC289D">
        <w:rPr>
          <w:rFonts w:ascii="Times New Roman" w:hAnsi="Times New Roman" w:cs="Times New Roman"/>
          <w:b/>
          <w:bCs/>
          <w:sz w:val="24"/>
          <w:szCs w:val="24"/>
        </w:rPr>
        <w:t>1117 quater</w:t>
      </w:r>
    </w:p>
    <w:p w:rsidR="00707ECA" w:rsidRPr="00CC289D" w:rsidRDefault="00707ECA" w:rsidP="00CC289D">
      <w:pPr>
        <w:jc w:val="center"/>
        <w:rPr>
          <w:rFonts w:ascii="Times New Roman" w:hAnsi="Times New Roman" w:cs="Times New Roman"/>
          <w:b/>
          <w:bCs/>
          <w:sz w:val="24"/>
          <w:szCs w:val="24"/>
        </w:rPr>
      </w:pPr>
      <w:r w:rsidRPr="00CC289D">
        <w:rPr>
          <w:rFonts w:ascii="Times New Roman" w:hAnsi="Times New Roman" w:cs="Times New Roman"/>
          <w:b/>
          <w:i/>
          <w:iCs/>
          <w:sz w:val="24"/>
          <w:szCs w:val="24"/>
        </w:rPr>
        <w:t>Tutela delle destinazioni d'uso</w:t>
      </w:r>
    </w:p>
    <w:p w:rsidR="00E03339" w:rsidRPr="00CC289D" w:rsidRDefault="00E03339" w:rsidP="00CC289D">
      <w:pPr>
        <w:jc w:val="both"/>
        <w:rPr>
          <w:rFonts w:ascii="Times New Roman" w:hAnsi="Times New Roman" w:cs="Times New Roman"/>
          <w:sz w:val="24"/>
          <w:szCs w:val="24"/>
        </w:rPr>
      </w:pPr>
      <w:r w:rsidRPr="00CC289D">
        <w:rPr>
          <w:rFonts w:ascii="Times New Roman" w:hAnsi="Times New Roman" w:cs="Times New Roman"/>
          <w:sz w:val="24"/>
          <w:szCs w:val="24"/>
        </w:rPr>
        <w:t>In caso di attività che incidono negativamente e in modo sostanziale sulle destinazioni d'uso delle parti comuni, l'amministratore o i condomini, anche singolarmente, possono diffidare l'esecutore e possono chiedere la convocazione dell'assemblea per far cessare la violazione, anche mediante azioni giudiziarie. L'assemblea delibera in merito alla cessazione di tali attività con la maggioranza prevista dal secondo comma dell'articolo 1136.</w:t>
      </w:r>
    </w:p>
    <w:p w:rsidR="00E03339" w:rsidRPr="00CC289D" w:rsidRDefault="00E03339">
      <w:pPr>
        <w:rPr>
          <w:rFonts w:ascii="Times New Roman" w:hAnsi="Times New Roman" w:cs="Times New Roman"/>
          <w:sz w:val="24"/>
          <w:szCs w:val="24"/>
        </w:rPr>
      </w:pPr>
    </w:p>
    <w:p w:rsidR="00E03339" w:rsidRPr="00CC289D" w:rsidRDefault="00707ECA"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E03339" w:rsidRPr="00CC289D">
        <w:rPr>
          <w:rFonts w:ascii="Times New Roman" w:hAnsi="Times New Roman" w:cs="Times New Roman"/>
          <w:b/>
          <w:sz w:val="24"/>
          <w:szCs w:val="24"/>
        </w:rPr>
        <w:t>1118</w:t>
      </w:r>
    </w:p>
    <w:p w:rsidR="00707ECA" w:rsidRPr="00CC289D" w:rsidRDefault="00707ECA" w:rsidP="00CC289D">
      <w:pPr>
        <w:jc w:val="center"/>
        <w:rPr>
          <w:rFonts w:ascii="Times New Roman" w:hAnsi="Times New Roman" w:cs="Times New Roman"/>
          <w:i/>
          <w:sz w:val="24"/>
          <w:szCs w:val="24"/>
        </w:rPr>
      </w:pPr>
      <w:r w:rsidRPr="00CC289D">
        <w:rPr>
          <w:rFonts w:ascii="Times New Roman" w:hAnsi="Times New Roman" w:cs="Times New Roman"/>
          <w:b/>
          <w:bCs/>
          <w:i/>
          <w:sz w:val="24"/>
          <w:szCs w:val="24"/>
        </w:rPr>
        <w:lastRenderedPageBreak/>
        <w:t xml:space="preserve">Diritti dei </w:t>
      </w:r>
      <w:r w:rsidR="00CC289D" w:rsidRPr="00CC289D">
        <w:rPr>
          <w:rFonts w:ascii="Times New Roman" w:hAnsi="Times New Roman" w:cs="Times New Roman"/>
          <w:b/>
          <w:bCs/>
          <w:i/>
          <w:sz w:val="24"/>
          <w:szCs w:val="24"/>
        </w:rPr>
        <w:t>partecipanti sulle parti comuni</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 xml:space="preserve">Il diritto di ciascun condomino sulle parti comuni, salvo che il titolo non disponga altrimenti, è proporzionale al valore dell'unità immobiliare che gli appartiene. </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 xml:space="preserve">Il condomino non può rinunziare al suo diritto sulle parti comuni. </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 xml:space="preserve">Il condomino non può sottrarsi all'obbligo di contribuire alle spese per la conservazione delle parti comuni, neanche modificando la destinazione d'uso della propria unità immobiliare, salvo quanto disposto da leggi speciali. </w:t>
      </w:r>
    </w:p>
    <w:p w:rsidR="00E03339" w:rsidRPr="00CC289D" w:rsidRDefault="00E03339"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Il condomino può rinunciare all'utilizzo dell'impianto centralizzato di riscaldamento o di condizionamento, se dal suo distacco non derivano notevoli squilibri di funzionamento o aggravi di spesa per gli altri condomini. In tal caso il rinunziante resta tenuto a concorrere al pagamento delle sole spese per la manutenzione straordinaria dell'impianto e per la sua conservazione e messa a norma</w:t>
      </w:r>
      <w:r w:rsidR="00CC289D">
        <w:rPr>
          <w:rFonts w:ascii="Times New Roman" w:eastAsia="Times New Roman" w:hAnsi="Times New Roman" w:cs="Times New Roman"/>
          <w:sz w:val="24"/>
          <w:szCs w:val="24"/>
          <w:lang w:eastAsia="it-IT"/>
        </w:rPr>
        <w:t>.</w:t>
      </w:r>
    </w:p>
    <w:p w:rsidR="00E03339" w:rsidRPr="00CC289D" w:rsidRDefault="00E03339">
      <w:pPr>
        <w:rPr>
          <w:rFonts w:ascii="Times New Roman" w:hAnsi="Times New Roman" w:cs="Times New Roman"/>
          <w:sz w:val="24"/>
          <w:szCs w:val="24"/>
        </w:rPr>
      </w:pPr>
    </w:p>
    <w:p w:rsidR="008A68BF" w:rsidRPr="00CC289D" w:rsidRDefault="00707ECA" w:rsidP="00CC289D">
      <w:pPr>
        <w:jc w:val="center"/>
        <w:rPr>
          <w:rFonts w:ascii="Times New Roman" w:eastAsia="Times New Roman" w:hAnsi="Times New Roman" w:cs="Times New Roman"/>
          <w:b/>
          <w:sz w:val="24"/>
          <w:szCs w:val="24"/>
          <w:lang w:eastAsia="it-IT"/>
        </w:rPr>
      </w:pPr>
      <w:r w:rsidRPr="00CC289D">
        <w:rPr>
          <w:rFonts w:ascii="Times New Roman" w:eastAsia="Times New Roman" w:hAnsi="Times New Roman" w:cs="Times New Roman"/>
          <w:b/>
          <w:sz w:val="24"/>
          <w:szCs w:val="24"/>
          <w:lang w:eastAsia="it-IT"/>
        </w:rPr>
        <w:t xml:space="preserve">Art. </w:t>
      </w:r>
      <w:r w:rsidR="008A68BF" w:rsidRPr="00CC289D">
        <w:rPr>
          <w:rFonts w:ascii="Times New Roman" w:eastAsia="Times New Roman" w:hAnsi="Times New Roman" w:cs="Times New Roman"/>
          <w:b/>
          <w:sz w:val="24"/>
          <w:szCs w:val="24"/>
          <w:lang w:eastAsia="it-IT"/>
        </w:rPr>
        <w:t>1119</w:t>
      </w:r>
    </w:p>
    <w:p w:rsidR="00707ECA" w:rsidRPr="00CC289D" w:rsidRDefault="00707ECA" w:rsidP="00CC289D">
      <w:pPr>
        <w:jc w:val="center"/>
        <w:rPr>
          <w:rFonts w:ascii="Times New Roman" w:hAnsi="Times New Roman" w:cs="Times New Roman"/>
          <w:b/>
          <w:i/>
          <w:iCs/>
          <w:sz w:val="24"/>
          <w:szCs w:val="24"/>
        </w:rPr>
      </w:pPr>
      <w:r w:rsidRPr="00CC289D">
        <w:rPr>
          <w:rFonts w:ascii="Times New Roman" w:hAnsi="Times New Roman" w:cs="Times New Roman"/>
          <w:b/>
          <w:i/>
          <w:iCs/>
          <w:sz w:val="24"/>
          <w:szCs w:val="24"/>
        </w:rPr>
        <w:t>Indivisibilità</w:t>
      </w:r>
    </w:p>
    <w:p w:rsidR="00707ECA" w:rsidRPr="00CC289D" w:rsidRDefault="00707ECA" w:rsidP="00CC289D">
      <w:pPr>
        <w:jc w:val="both"/>
        <w:rPr>
          <w:rFonts w:ascii="Times New Roman" w:eastAsia="Times New Roman" w:hAnsi="Times New Roman" w:cs="Times New Roman"/>
          <w:sz w:val="24"/>
          <w:szCs w:val="24"/>
          <w:lang w:eastAsia="it-IT"/>
        </w:rPr>
      </w:pPr>
      <w:r w:rsidRPr="00CC289D">
        <w:rPr>
          <w:rFonts w:ascii="Times New Roman" w:hAnsi="Times New Roman" w:cs="Times New Roman"/>
          <w:sz w:val="24"/>
          <w:szCs w:val="24"/>
        </w:rPr>
        <w:t>Le parti comuni dell'edificio non sono soggette a divisione, a meno che la divisione possa farsi senza rendere più incomodo l'uso della cosa a ciascun condomino e con il consenso di tutti i partecipanti al condominio.</w:t>
      </w:r>
    </w:p>
    <w:p w:rsidR="008A68BF" w:rsidRPr="00CC289D" w:rsidRDefault="008A68BF">
      <w:pPr>
        <w:rPr>
          <w:rFonts w:ascii="Times New Roman" w:eastAsia="Times New Roman" w:hAnsi="Times New Roman" w:cs="Times New Roman"/>
          <w:sz w:val="24"/>
          <w:szCs w:val="24"/>
          <w:lang w:eastAsia="it-IT"/>
        </w:rPr>
      </w:pPr>
    </w:p>
    <w:p w:rsidR="008A68BF" w:rsidRPr="00CC289D" w:rsidRDefault="00707ECA" w:rsidP="00CC289D">
      <w:pPr>
        <w:jc w:val="center"/>
        <w:rPr>
          <w:rFonts w:ascii="Times New Roman" w:eastAsia="Times New Roman" w:hAnsi="Times New Roman" w:cs="Times New Roman"/>
          <w:b/>
          <w:sz w:val="24"/>
          <w:szCs w:val="24"/>
          <w:lang w:eastAsia="it-IT"/>
        </w:rPr>
      </w:pPr>
      <w:r w:rsidRPr="00CC289D">
        <w:rPr>
          <w:rFonts w:ascii="Times New Roman" w:eastAsia="Times New Roman" w:hAnsi="Times New Roman" w:cs="Times New Roman"/>
          <w:b/>
          <w:sz w:val="24"/>
          <w:szCs w:val="24"/>
          <w:lang w:eastAsia="it-IT"/>
        </w:rPr>
        <w:t xml:space="preserve">Art. </w:t>
      </w:r>
      <w:r w:rsidR="008A68BF" w:rsidRPr="00CC289D">
        <w:rPr>
          <w:rFonts w:ascii="Times New Roman" w:eastAsia="Times New Roman" w:hAnsi="Times New Roman" w:cs="Times New Roman"/>
          <w:b/>
          <w:sz w:val="24"/>
          <w:szCs w:val="24"/>
          <w:lang w:eastAsia="it-IT"/>
        </w:rPr>
        <w:t>1120</w:t>
      </w:r>
    </w:p>
    <w:p w:rsidR="00707ECA" w:rsidRPr="00CC289D" w:rsidRDefault="00707ECA" w:rsidP="00CC289D">
      <w:pPr>
        <w:jc w:val="center"/>
        <w:rPr>
          <w:rFonts w:ascii="Times New Roman" w:eastAsia="Times New Roman" w:hAnsi="Times New Roman" w:cs="Times New Roman"/>
          <w:b/>
          <w:i/>
          <w:sz w:val="24"/>
          <w:szCs w:val="24"/>
          <w:lang w:eastAsia="it-IT"/>
        </w:rPr>
      </w:pPr>
      <w:r w:rsidRPr="00CC289D">
        <w:rPr>
          <w:rFonts w:ascii="Times New Roman" w:eastAsia="Times New Roman" w:hAnsi="Times New Roman" w:cs="Times New Roman"/>
          <w:b/>
          <w:i/>
          <w:sz w:val="24"/>
          <w:szCs w:val="24"/>
          <w:lang w:eastAsia="it-IT"/>
        </w:rPr>
        <w:t>Innovazioni</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I condomini, con la maggioranza indicata dal quinto comma dell'articolo 1136, possono disporre tutte le innovazioni dirette al miglioramento o all'uso più comodo o al maggior rendimento delle cose comuni</w:t>
      </w:r>
      <w:r w:rsidR="00CC289D">
        <w:rPr>
          <w:rFonts w:ascii="Times New Roman" w:hAnsi="Times New Roman" w:cs="Times New Roman"/>
          <w:sz w:val="24"/>
          <w:szCs w:val="24"/>
        </w:rPr>
        <w:t>.</w:t>
      </w:r>
      <w:r w:rsidRPr="00CC289D">
        <w:rPr>
          <w:rFonts w:ascii="Times New Roman" w:hAnsi="Times New Roman" w:cs="Times New Roman"/>
          <w:sz w:val="24"/>
          <w:szCs w:val="24"/>
        </w:rPr>
        <w:t xml:space="preserve">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I condomini, con la maggioranza indicata dal secondo comma dell'articolo 1136, possono disporre le innovazioni che, nel rispetto della normativa di settore, hanno ad oggetto: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1) le opere e gli interventi volti a migliorare la sicurezza e la salubrità degli edifici e degli impianti;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2) le opere e gli interventi previsti per eliminare le barriere architettoniche, per il contenimento del consumo energetico degli edifici e per realizzare parcheggi destinati a servizio delle unità immobiliari o dell'edificio, nonché per la produzione di energia mediante l'utilizzo di impianti di cogenerazione, fonti eoliche, solari o comunque rinnovabili da parte del condominio o di terzi che conseguano a titolo oneroso un diritto reale o personale di godimento del lastrico solare o di altra idonea superficie comune;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3) l'installazione di impianti centralizzati per la ricezione radiotelevisiva e per l'accesso a qualunque altro genere di flusso informativo, anche da satellite o via cavo, e i relativi collegamenti fino alla diramazione per le singole utenze, ad esclusione degli impianti che non comportano modifiche in grado di alterare la destinazione della cosa comune e di impedire agli altri condomini di farne uso secondo il loro diritto.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L'amministratore è tenuto a convocare l'assemblea entro trenta giorni dalla richiesta anche di un solo condomino interessato all'adozione delle deliberazioni di cui al precedente comma. La richiesta deve contenere l'indicazione del contenuto specifico e delle modalità di esecuzione degli interventi proposti. In mancanza, l'amministratore deve invitare senza indugio il condomino proponente a fornire le necessarie integrazioni</w:t>
      </w:r>
      <w:r w:rsidR="00CC289D">
        <w:rPr>
          <w:rFonts w:ascii="Times New Roman" w:hAnsi="Times New Roman" w:cs="Times New Roman"/>
          <w:sz w:val="24"/>
          <w:szCs w:val="24"/>
        </w:rPr>
        <w:t>.</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Sono vietate le innovazioni che possano recare pregiudizio alla stabilità o alla sicurezza del fabbricato, che ne alterino il decoro architettonico o che rendano talune parti comuni dell'edificio inservibili all'uso o al godimento anche di un solo condomino. </w:t>
      </w:r>
    </w:p>
    <w:p w:rsidR="008A68BF" w:rsidRPr="00CC289D" w:rsidRDefault="008A68BF">
      <w:pPr>
        <w:rPr>
          <w:rFonts w:ascii="Times New Roman" w:hAnsi="Times New Roman" w:cs="Times New Roman"/>
          <w:sz w:val="24"/>
          <w:szCs w:val="24"/>
        </w:rPr>
      </w:pPr>
    </w:p>
    <w:p w:rsidR="008A68BF" w:rsidRPr="00CC289D" w:rsidRDefault="00707ECA"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8A68BF" w:rsidRPr="00CC289D">
        <w:rPr>
          <w:rFonts w:ascii="Times New Roman" w:hAnsi="Times New Roman" w:cs="Times New Roman"/>
          <w:b/>
          <w:sz w:val="24"/>
          <w:szCs w:val="24"/>
        </w:rPr>
        <w:t>1122</w:t>
      </w:r>
    </w:p>
    <w:p w:rsidR="00707ECA" w:rsidRPr="00CC289D" w:rsidRDefault="00707ECA" w:rsidP="00CC289D">
      <w:pPr>
        <w:jc w:val="center"/>
        <w:rPr>
          <w:rFonts w:ascii="Times New Roman" w:hAnsi="Times New Roman" w:cs="Times New Roman"/>
          <w:b/>
          <w:i/>
          <w:sz w:val="24"/>
          <w:szCs w:val="24"/>
        </w:rPr>
      </w:pPr>
      <w:r w:rsidRPr="00CC289D">
        <w:rPr>
          <w:rFonts w:ascii="Times New Roman" w:hAnsi="Times New Roman" w:cs="Times New Roman"/>
          <w:b/>
          <w:bCs/>
          <w:i/>
          <w:sz w:val="24"/>
          <w:szCs w:val="24"/>
        </w:rPr>
        <w:t>Opere su parti di proprietà o uso individuale</w:t>
      </w:r>
    </w:p>
    <w:p w:rsidR="008A68BF" w:rsidRPr="008A68BF" w:rsidRDefault="008A68BF" w:rsidP="00CC289D">
      <w:pPr>
        <w:jc w:val="both"/>
        <w:rPr>
          <w:rFonts w:ascii="Times New Roman" w:eastAsia="Times New Roman" w:hAnsi="Times New Roman" w:cs="Times New Roman"/>
          <w:sz w:val="24"/>
          <w:szCs w:val="24"/>
          <w:lang w:eastAsia="it-IT"/>
        </w:rPr>
      </w:pPr>
      <w:r w:rsidRPr="008A68BF">
        <w:rPr>
          <w:rFonts w:ascii="Times New Roman" w:eastAsia="Times New Roman" w:hAnsi="Times New Roman" w:cs="Times New Roman"/>
          <w:sz w:val="24"/>
          <w:szCs w:val="24"/>
          <w:lang w:eastAsia="it-IT"/>
        </w:rPr>
        <w:t xml:space="preserve">Nell'unità immobiliare di sua proprietà ovvero nelle parti normalmente destinate all'uso comune, che siano state attribuite in proprietà esclusiva o destinate all'uso individuale, il condomino non può </w:t>
      </w:r>
      <w:r w:rsidRPr="008A68BF">
        <w:rPr>
          <w:rFonts w:ascii="Times New Roman" w:eastAsia="Times New Roman" w:hAnsi="Times New Roman" w:cs="Times New Roman"/>
          <w:sz w:val="24"/>
          <w:szCs w:val="24"/>
          <w:lang w:eastAsia="it-IT"/>
        </w:rPr>
        <w:lastRenderedPageBreak/>
        <w:t>eseguire opere che rechino danno alle parti comuni ovvero determinino pregiudizio alla stabilità, alla sicurezza o al decoro architettonico dell'edificio.</w:t>
      </w:r>
    </w:p>
    <w:p w:rsidR="008A68BF" w:rsidRPr="008A68BF" w:rsidRDefault="008A68BF" w:rsidP="00CC289D">
      <w:pPr>
        <w:jc w:val="both"/>
        <w:rPr>
          <w:rFonts w:ascii="Times New Roman" w:eastAsia="Times New Roman" w:hAnsi="Times New Roman" w:cs="Times New Roman"/>
          <w:sz w:val="24"/>
          <w:szCs w:val="24"/>
          <w:lang w:eastAsia="it-IT"/>
        </w:rPr>
      </w:pPr>
      <w:r w:rsidRPr="008A68BF">
        <w:rPr>
          <w:rFonts w:ascii="Times New Roman" w:eastAsia="Times New Roman" w:hAnsi="Times New Roman" w:cs="Times New Roman"/>
          <w:sz w:val="24"/>
          <w:szCs w:val="24"/>
          <w:lang w:eastAsia="it-IT"/>
        </w:rPr>
        <w:t xml:space="preserve">In ogni caso è data preventiva notizia all'amministratore che ne riferisce all'assemblea. </w:t>
      </w:r>
    </w:p>
    <w:p w:rsidR="008A68BF" w:rsidRPr="00CC289D" w:rsidRDefault="008A68BF">
      <w:pPr>
        <w:rPr>
          <w:rFonts w:ascii="Times New Roman" w:hAnsi="Times New Roman" w:cs="Times New Roman"/>
          <w:sz w:val="24"/>
          <w:szCs w:val="24"/>
        </w:rPr>
      </w:pPr>
    </w:p>
    <w:p w:rsidR="00707ECA" w:rsidRPr="00CC289D" w:rsidRDefault="00707ECA"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8A68BF" w:rsidRPr="00CC289D">
        <w:rPr>
          <w:rFonts w:ascii="Times New Roman" w:hAnsi="Times New Roman" w:cs="Times New Roman"/>
          <w:b/>
          <w:sz w:val="24"/>
          <w:szCs w:val="24"/>
        </w:rPr>
        <w:t>1122 bis</w:t>
      </w:r>
    </w:p>
    <w:p w:rsidR="008A68BF" w:rsidRPr="00CC289D" w:rsidRDefault="008A68BF" w:rsidP="00CC289D">
      <w:pPr>
        <w:jc w:val="center"/>
        <w:rPr>
          <w:rFonts w:ascii="Times New Roman" w:hAnsi="Times New Roman" w:cs="Times New Roman"/>
          <w:b/>
          <w:i/>
          <w:iCs/>
          <w:sz w:val="24"/>
          <w:szCs w:val="24"/>
        </w:rPr>
      </w:pPr>
      <w:r w:rsidRPr="00CC289D">
        <w:rPr>
          <w:rFonts w:ascii="Times New Roman" w:hAnsi="Times New Roman" w:cs="Times New Roman"/>
          <w:b/>
          <w:i/>
          <w:iCs/>
          <w:sz w:val="24"/>
          <w:szCs w:val="24"/>
        </w:rPr>
        <w:t>Impianti non centralizzati di ricezione radiotelevisiva e di produzione di e</w:t>
      </w:r>
      <w:r w:rsidR="00707ECA" w:rsidRPr="00CC289D">
        <w:rPr>
          <w:rFonts w:ascii="Times New Roman" w:hAnsi="Times New Roman" w:cs="Times New Roman"/>
          <w:b/>
          <w:i/>
          <w:iCs/>
          <w:sz w:val="24"/>
          <w:szCs w:val="24"/>
        </w:rPr>
        <w:t>nergia da fonti rinnovabili</w:t>
      </w:r>
      <w:r w:rsidRPr="00CC289D">
        <w:rPr>
          <w:rFonts w:ascii="Times New Roman" w:hAnsi="Times New Roman" w:cs="Times New Roman"/>
          <w:b/>
          <w:i/>
          <w:iCs/>
          <w:sz w:val="24"/>
          <w:szCs w:val="24"/>
        </w:rPr>
        <w:t>.</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Le installazioni di impianti non centralizzati per la ricezione radiotelevisiva e per l'accesso a qualunque altro genere di flusso informativo, anche da satellite o via cavo, e i relativi collegamenti fino al punto di diramazione per le singole utenze sono realizzati in modo da recare il minor pregiudizio alle parti comuni e alle unità immobiliari di proprietà individuale, preservando in ogni caso il decoro architettonico dell'edificio, salvo quanto previsto in materia di reti pubbliche.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È consentita l'installazione di impianti per la produzione di energia da fonti rinnovabili destinati al servizio di singole unità del condominio sul lastrico solare, su ogni altra idonea superficie comune e sulle parti di proprietà individuale dell'interessato.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Qualora si rendano necessarie modificazioni delle parti comuni, l'interessato ne dà comunicazione all'amministratore indicando il contenuto specifico e le modalità di esecuzione degli interventi. L'assemblea può prescrivere, con la maggioranza di cui al quinto comma dell'articolo 1136, adeguate modalità alternative di esecuzione o imporre cautele a salvaguardia della stabilità, della sicurezza o del decoro architettonico dell'edificio e, ai fini dell'installazione degli impianti di cui al secondo comma, provvede, a richiesta degli interessati, a ripartire l'uso del lastrico solare e delle altre superfici comuni, salvaguardando le diverse forme di utilizzo previste dal regolamento di condominio o comunque in atto. L'assemblea, con la medesima maggioranza, può altresì subordinare l'esecuzione alla prestazione, da parte dell'interessato, di idonea garanzia per i danni eventuali. </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L'accesso alle unità immobiliari di proprietà individuale deve essere consentito ove necessario per la progettazione e per l'esecuzione delle opere. Non sono soggetti ad autorizzazione gli impianti destinati alle singole unità abitative. </w:t>
      </w:r>
    </w:p>
    <w:p w:rsidR="008A68BF" w:rsidRPr="00CC289D" w:rsidRDefault="008A68BF">
      <w:pPr>
        <w:rPr>
          <w:rFonts w:ascii="Times New Roman" w:hAnsi="Times New Roman" w:cs="Times New Roman"/>
          <w:sz w:val="24"/>
          <w:szCs w:val="24"/>
        </w:rPr>
      </w:pPr>
    </w:p>
    <w:p w:rsidR="0062141B" w:rsidRPr="00CC289D" w:rsidRDefault="0062141B" w:rsidP="0062141B">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8A68BF" w:rsidRPr="00CC289D">
        <w:rPr>
          <w:rFonts w:ascii="Times New Roman" w:hAnsi="Times New Roman" w:cs="Times New Roman"/>
          <w:b/>
          <w:sz w:val="24"/>
          <w:szCs w:val="24"/>
        </w:rPr>
        <w:t>1122 ter</w:t>
      </w:r>
    </w:p>
    <w:p w:rsidR="008A68BF" w:rsidRPr="00CC289D" w:rsidRDefault="008A68BF" w:rsidP="0062141B">
      <w:pPr>
        <w:jc w:val="center"/>
        <w:rPr>
          <w:rFonts w:ascii="Times New Roman" w:hAnsi="Times New Roman" w:cs="Times New Roman"/>
          <w:b/>
          <w:i/>
          <w:iCs/>
          <w:sz w:val="24"/>
          <w:szCs w:val="24"/>
        </w:rPr>
      </w:pPr>
      <w:r w:rsidRPr="00CC289D">
        <w:rPr>
          <w:rFonts w:ascii="Times New Roman" w:hAnsi="Times New Roman" w:cs="Times New Roman"/>
          <w:b/>
          <w:i/>
          <w:iCs/>
          <w:sz w:val="24"/>
          <w:szCs w:val="24"/>
        </w:rPr>
        <w:t>Impianti di video</w:t>
      </w:r>
      <w:r w:rsidR="0062141B" w:rsidRPr="00CC289D">
        <w:rPr>
          <w:rFonts w:ascii="Times New Roman" w:hAnsi="Times New Roman" w:cs="Times New Roman"/>
          <w:b/>
          <w:i/>
          <w:iCs/>
          <w:sz w:val="24"/>
          <w:szCs w:val="24"/>
        </w:rPr>
        <w:t>sorveglianza sulle parti comuni</w:t>
      </w:r>
      <w:r w:rsidRPr="00CC289D">
        <w:rPr>
          <w:rFonts w:ascii="Times New Roman" w:hAnsi="Times New Roman" w:cs="Times New Roman"/>
          <w:b/>
          <w:i/>
          <w:iCs/>
          <w:sz w:val="24"/>
          <w:szCs w:val="24"/>
        </w:rPr>
        <w:t>.</w:t>
      </w:r>
    </w:p>
    <w:p w:rsidR="008A68BF" w:rsidRPr="00CC289D" w:rsidRDefault="008A68BF" w:rsidP="00CC289D">
      <w:pPr>
        <w:jc w:val="both"/>
        <w:rPr>
          <w:rFonts w:ascii="Times New Roman" w:hAnsi="Times New Roman" w:cs="Times New Roman"/>
          <w:sz w:val="24"/>
          <w:szCs w:val="24"/>
        </w:rPr>
      </w:pPr>
      <w:r w:rsidRPr="00CC289D">
        <w:rPr>
          <w:rFonts w:ascii="Times New Roman" w:hAnsi="Times New Roman" w:cs="Times New Roman"/>
          <w:sz w:val="24"/>
          <w:szCs w:val="24"/>
        </w:rPr>
        <w:t>Le deliberazioni concernenti l'installazione sulle parti comuni dell'edificio di impianti volti a consentire la videosorveglianza su di esse sono approvate dall'assemblea con la maggioranza di cui al secondo comma dell'articolo 1136.</w:t>
      </w:r>
    </w:p>
    <w:p w:rsidR="008A68BF" w:rsidRPr="00CC289D" w:rsidRDefault="008A68BF">
      <w:pPr>
        <w:rPr>
          <w:rFonts w:ascii="Times New Roman" w:hAnsi="Times New Roman" w:cs="Times New Roman"/>
          <w:sz w:val="24"/>
          <w:szCs w:val="24"/>
        </w:rPr>
      </w:pPr>
    </w:p>
    <w:p w:rsidR="0062141B" w:rsidRPr="00CC289D" w:rsidRDefault="0062141B" w:rsidP="0062141B">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8A68BF" w:rsidRPr="00CC289D">
        <w:rPr>
          <w:rFonts w:ascii="Times New Roman" w:hAnsi="Times New Roman" w:cs="Times New Roman"/>
          <w:b/>
          <w:sz w:val="24"/>
          <w:szCs w:val="24"/>
        </w:rPr>
        <w:t>1124</w:t>
      </w:r>
    </w:p>
    <w:p w:rsidR="0062141B" w:rsidRPr="00CC289D" w:rsidRDefault="0062141B" w:rsidP="0062141B">
      <w:pPr>
        <w:jc w:val="center"/>
        <w:rPr>
          <w:rFonts w:ascii="Times New Roman" w:hAnsi="Times New Roman" w:cs="Times New Roman"/>
          <w:b/>
          <w:i/>
          <w:sz w:val="24"/>
          <w:szCs w:val="24"/>
        </w:rPr>
      </w:pPr>
      <w:r w:rsidRPr="00CC289D">
        <w:rPr>
          <w:rFonts w:ascii="Times New Roman" w:hAnsi="Times New Roman" w:cs="Times New Roman"/>
          <w:b/>
          <w:bCs/>
          <w:i/>
          <w:sz w:val="24"/>
          <w:szCs w:val="24"/>
        </w:rPr>
        <w:t>Manutenzione e sostituzione delle scale e degli ascensori</w:t>
      </w:r>
    </w:p>
    <w:p w:rsidR="008A68BF" w:rsidRPr="00CC289D" w:rsidRDefault="008A68BF" w:rsidP="00CC289D">
      <w:pPr>
        <w:jc w:val="both"/>
        <w:rPr>
          <w:rFonts w:ascii="Times New Roman" w:eastAsia="Times New Roman" w:hAnsi="Times New Roman" w:cs="Times New Roman"/>
          <w:sz w:val="24"/>
          <w:szCs w:val="24"/>
          <w:lang w:eastAsia="it-IT"/>
        </w:rPr>
      </w:pPr>
      <w:r w:rsidRPr="00CC289D">
        <w:rPr>
          <w:rFonts w:ascii="Times New Roman" w:eastAsia="Times New Roman" w:hAnsi="Times New Roman" w:cs="Times New Roman"/>
          <w:sz w:val="24"/>
          <w:szCs w:val="24"/>
          <w:lang w:eastAsia="it-IT"/>
        </w:rPr>
        <w:t>Le scale e gli ascensori sono mantenuti e sostituiti dai proprietari delle unità immobiliari a cui servono. La spesa relativa è ripartita tra essi, per metà in ragione del valore delle singole unità immobiliari e per l'altra metà esclusivamente in misura proporzionale all'altezza di ciascun piano dal suolo</w:t>
      </w:r>
      <w:r w:rsidR="00D9283D">
        <w:rPr>
          <w:rFonts w:ascii="Times New Roman" w:eastAsia="Times New Roman" w:hAnsi="Times New Roman" w:cs="Times New Roman"/>
          <w:sz w:val="24"/>
          <w:szCs w:val="24"/>
          <w:lang w:eastAsia="it-IT"/>
        </w:rPr>
        <w:t>.</w:t>
      </w:r>
    </w:p>
    <w:p w:rsidR="008A68BF" w:rsidRPr="008A68BF" w:rsidRDefault="008A68BF" w:rsidP="00CC289D">
      <w:pPr>
        <w:jc w:val="both"/>
        <w:rPr>
          <w:rFonts w:ascii="Times New Roman" w:eastAsia="Times New Roman" w:hAnsi="Times New Roman" w:cs="Times New Roman"/>
          <w:sz w:val="24"/>
          <w:szCs w:val="24"/>
          <w:lang w:eastAsia="it-IT"/>
        </w:rPr>
      </w:pPr>
      <w:r w:rsidRPr="008A68BF">
        <w:rPr>
          <w:rFonts w:ascii="Times New Roman" w:eastAsia="Times New Roman" w:hAnsi="Times New Roman" w:cs="Times New Roman"/>
          <w:sz w:val="24"/>
          <w:szCs w:val="24"/>
          <w:lang w:eastAsia="it-IT"/>
        </w:rPr>
        <w:t xml:space="preserve">Al fine del concorso nella metà della spesa, che è ripartita in ragione del valore, si considerano come piani le cantine, i palchi morti, le soffitte o camere a tetto e i lastrici solari, qualora non siano di proprietà comune. </w:t>
      </w:r>
    </w:p>
    <w:p w:rsidR="008A68BF" w:rsidRPr="00CC289D" w:rsidRDefault="008A68BF">
      <w:pPr>
        <w:rPr>
          <w:rFonts w:ascii="Times New Roman" w:hAnsi="Times New Roman" w:cs="Times New Roman"/>
          <w:sz w:val="24"/>
          <w:szCs w:val="24"/>
        </w:rPr>
      </w:pPr>
    </w:p>
    <w:p w:rsidR="00707ECA" w:rsidRPr="00CC289D" w:rsidRDefault="0062141B" w:rsidP="0062141B">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1129</w:t>
      </w:r>
    </w:p>
    <w:p w:rsidR="00707ECA" w:rsidRPr="00CC289D" w:rsidRDefault="00707ECA" w:rsidP="00707ECA">
      <w:pPr>
        <w:jc w:val="center"/>
        <w:rPr>
          <w:rFonts w:ascii="Times New Roman" w:hAnsi="Times New Roman" w:cs="Times New Roman"/>
          <w:i/>
          <w:sz w:val="24"/>
          <w:szCs w:val="24"/>
        </w:rPr>
      </w:pPr>
      <w:r w:rsidRPr="00CC289D">
        <w:rPr>
          <w:rFonts w:ascii="Times New Roman" w:hAnsi="Times New Roman" w:cs="Times New Roman"/>
          <w:b/>
          <w:bCs/>
          <w:i/>
          <w:sz w:val="24"/>
          <w:szCs w:val="24"/>
        </w:rPr>
        <w:t>Nomina, revoca ed obblighi dell'amministratore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Quando i condomini sono più di otto, se l'assemblea non vi provvede, la nomina di un amministratore è fatta dall'autorità giudiziaria su ricorso di uno o più condomini o dell'amministratore dimissionario.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lastRenderedPageBreak/>
        <w:t xml:space="preserve">Contestualmente all'accettazione della nomina e ad ogni rinnovo dell'incarico, l'amministratore comunica i propri dati anagrafici e professionali, il codice fiscale, o, se si tratta di società, anche la sede legale e la denominazione, il locale ove si trovano i registri di cui ai numeri 6) e 7) dell'articolo 1130, nonché i giorni e le ore in cui ogni interessato, previa richiesta all'amministratore, può prenderne gratuitamente visione e ottenere, previo rimborso della spesa, copia da lui firmata.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L'assemblea può subordinare la nomina dell'amministratore alla presentazione ai condomini di una polizza individuale di assicurazione per la responsabilità civile per gli atti compiuti nell'esercizio del mandato.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L'amministratore è tenuto altresì ad adeguare i massimali della polizza se nel periodo del suo incarico l'assemblea deliberi lavori straordinari. Tale adeguamento non deve essere inferiore all'importo di spesa deliberato e deve essere effettuato contestualmente all'inizio dei lavori. Nel caso in cui l'amministratore sia coperto da una polizza di assicurazione per la responsabilità civile professionale generale per l'intera attività da lui svolta, tale polizza deve essere integrata con una dichiarazione dell'impresa di assicurazione che garantisca le condizioni previste dal periodo precedente per lo specifico condominio.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Sul luogo di accesso al condominio o di maggior uso comune, accessibile anche ai terzi, è affissa l'indicazione delle generalità, del domicilio e dei recapiti, anche telefonici, dell'amministratore.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In mancanza dell'amministratore, sul luogo di accesso al condominio o di maggior uso comune, accessibile anche ai terzi, è affissa l'indicazione delle generalità e dei recapiti, anche telefonici, della persona che svolge funzioni analoghe a quelle dell'amministratore.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L'amministratore è obbligato a far transitare le somme ricevute a qualunque titolo dai condomini o da terzi, nonché quelle a qualsiasi titolo erogate per conto del condominio, su uno specifico conto corrente, postale o bancario, intestato al condominio; ciascun condomino, per il tramite dell'amministratore, può chiedere di prendere visione ed estrarre copia, a proprie spese, della rendicontazione periodica.</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Alla cessazione dell'incarico l'amministratore è tenuto alla consegna di tutta la documentazione in suo possesso afferente al condominio e ai singoli condomini e ad eseguire le attività urgenti al fine di evitare pregiudizi agli interessi comuni senza diritto ad ulteriori compensi.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Salvo che sia stato espressamente dispensato dall'assemblea, l'amministratore è tenuto ad agire per la riscossione forzosa delle somme dovute dagli obbligati entro sei mesi dalla chiusura dell'esercizio nel quale il credito esigibile è compreso, anche ai sensi dell'articolo 63, primo comma, delle disposizioni per l'attuazione del presente codice.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L'incarico di amministratore ha durata di un anno e si intende rinnovato per eguale durata. L'assemblea convocata per la revoca o le dimissioni delibera in ordine alla nomina del nuovo amministratore.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 revoca dell'amministratore può essere deliberata in ogni tempo dall'assemblea, con la maggioranza prevista per la sua nomina oppure con le modalità previste dal regolamento di condominio. Può altresì essere disposta dall'autorità giudiziaria, su ricorso di ciascun condomino, nel caso previsto dal quarto comma dell'articolo 1131, se non rende il conto della gestione, ovvero in caso di gravi irregolarità. Nei casi in cui siano emerse gravi irregolarità fiscali o di non ottemperanza a quanto disposto dal numero 3) del dodicesimo comma del presente articolo, i condomini, anche singolarmente, possono chiedere la convocazione dell'assemblea per far cessare la violazione e revocare il mandato all'amministratore. In caso di mancata revoca da parte dell'assemblea, ciascun condomino può rivolgersi all'autorità giudiziaria; in caso di accoglimento della domanda, il ricorrente, per le spese legali, ha titolo alla rivalsa nei confronti del condominio, che a sua volta può rivalersi nei confronti dell'amministratore revocato.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Costituiscono, tra le altre, gravi irregolarità:</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1) l'omessa convocazione dell'assemblea per l'approvazione del rendiconto condominiale, il ripetuto rifiuto di convocare l'assemblea per la revoca e per la nomina del nuovo amministratore o negli altri casi previsti dalla legge;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lastRenderedPageBreak/>
        <w:t xml:space="preserve">2) la mancata esecuzione di provvedimenti giudiziari e amministrativi, nonché di deliberazioni dell'assemblea;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3) la mancata apertura ed utilizzazione del conto di cui al settimo comma;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4) la gestione secondo modalità che possono generare possibilità di confusione tra il patrimonio del condominio e il patrimonio personale dell'amministratore o di altri condomini;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5) l'aver acconsentito, per un credito insoddisfatto, alla cancellazione delle formalità eseguite nei registri immobiliari a tutela dei diritti del condominio;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6) qualora sia stata promossa azione giudiziaria per la riscossione delle somme dovute al condominio, l'aver omesso di curare diligentemente l'azione e la conseguente esecuzione coattiva;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7) l'inottemperanza agli obblighi di cui all'articolo 1130, numeri 6), 7) e 9);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8) l'omessa, incompleta o inesatta comunicazione dei dati di cui al secondo comma del presente articolo.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In caso di revoca da parte dell'autorità giudiziaria, l'assemblea non può nominare nuovamente l'amministratore revocato.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L'amministratore, all'atto dell'accettazione della nomina e del suo rinnovo, deve specificare analiticamente, a pena di nullità della nomina stessa, l'importo dovuto a titolo di compenso per l'attività svolta.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Per quanto non disciplinato dal presente articolo si applicano le disposizioni di cui alla sezione I del capo IX del titolo III del libro IV.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Il presente articolo si applica anche agli edifici di alloggi di edilizia popolare ed economica, realizzati o recuperati da enti pubblici a totale partecipazione pubblica o con il concorso dello Stato, delle regioni, delle province o dei comuni, nonché a quelli realizzati da enti pubblici non economici o società private senza scopo di lucro con finalità sociali proprie dell'edilizia residenziale pubblica</w:t>
      </w:r>
      <w:r w:rsidR="005B2358">
        <w:rPr>
          <w:rFonts w:ascii="Times New Roman" w:hAnsi="Times New Roman" w:cs="Times New Roman"/>
          <w:sz w:val="24"/>
          <w:szCs w:val="24"/>
        </w:rPr>
        <w:t>.</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1130</w:t>
      </w:r>
    </w:p>
    <w:p w:rsidR="00707ECA" w:rsidRPr="00CC289D" w:rsidRDefault="00707ECA" w:rsidP="00707ECA">
      <w:pPr>
        <w:jc w:val="center"/>
        <w:rPr>
          <w:rFonts w:ascii="Times New Roman" w:hAnsi="Times New Roman" w:cs="Times New Roman"/>
          <w:i/>
          <w:sz w:val="24"/>
          <w:szCs w:val="24"/>
        </w:rPr>
      </w:pPr>
      <w:r w:rsidRPr="00CC289D">
        <w:rPr>
          <w:rFonts w:ascii="Times New Roman" w:hAnsi="Times New Roman" w:cs="Times New Roman"/>
          <w:b/>
          <w:bCs/>
          <w:i/>
          <w:sz w:val="24"/>
          <w:szCs w:val="24"/>
        </w:rPr>
        <w:t>Attribuzioni dell'amministratore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L'amministratore, oltre a quanto previsto dall'articolo 1129 e dalle vigenti disposizioni di legge, deve: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1) eseguire le deliberazioni dell'assemblea, convocarla annualmente per l'approvazione del rendiconto condominiale di cui all'articolo 1130-bis e curare l'osservanza del regolamento di condominio;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2) disciplinare l'uso delle cose comuni e la fruizione dei servizi nell'interesse comune, in modo che ne sia assicurato il miglior godimento a ciascuno dei condomini;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3) riscuotere i contributi ed erogare le spese occorrenti per la manutenzione ordinaria delle parti comuni dell'edificio e per l'esercizio dei servizi comuni;</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4) compiere gli atti conservativi relativi alle parti comuni dell'edificio;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5) eseguire gli adempimenti fiscali;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6) curare la tenuta del registro di anagrafe condominiale contenente le generalità dei singoli proprietari e dei titolari di diritti reali e di diritti personali di godimento, comprensive del codice fiscale e della residenza o domicilio, i dati catastali di ciascuna unità immobiliare, nonché ogni dato relativo alle condizioni di sicurezza. Ogni variazione dei dati deve essere comunicata all'amministratore in forma scritta entro sessanta giorni. L'amministratore, in caso di inerzia, mancanza o incompletezza delle comunicazioni, richiede con lettera raccomandata le informazioni necessarie alla tenuta del registro di anagrafe. Decorsi trenta giorni, in caso di omessa o incompleta risposta, l'amministratore acquisisce le informazioni necessarie, addebitandone il costo ai responsabili;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7) curare la tenuta del registro dei verbali delle assemblee, del registro di nomina e revoca dell'amministratore e del registro di contabilità. Nel registro dei verbali delle assemblee sono altresì annotate: le eventuali mancate costituzioni dell'assemblea, le deliberazioni nonché le brevi dichiarazioni rese dai condomini che ne hanno fatto richiesta; allo stesso registro è allegato il regolamento di condominio, ove adottato. Nel registro di nomina e revoca dell'amministratore sono </w:t>
      </w:r>
      <w:r w:rsidRPr="00CC289D">
        <w:rPr>
          <w:rFonts w:ascii="Times New Roman" w:hAnsi="Times New Roman" w:cs="Times New Roman"/>
          <w:sz w:val="24"/>
          <w:szCs w:val="24"/>
        </w:rPr>
        <w:lastRenderedPageBreak/>
        <w:t xml:space="preserve">annotate, in ordine cronologico, le date della nomina e della revoca di ciascun amministratore del condominio, nonché gli estremi del decreto in caso di provvedimento giudiziale. Nel registro di contabilità sono annotati in ordine cronologico, entro trenta giorni da quello dell'effettuazione, i singoli movimenti in entrata ed in uscita. Tale registro può tenersi anche con modalità informatizzate;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8) conservare tutta la documentazione inerente alla propria gestione riferibile sia al rapporto con i condomini sia allo stato tecnico-amministrativo dell'edificio e del condominio;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9) fornire al condomino che ne faccia richiesta attestazione relativa allo stato dei pagamenti degli oneri condominiali e delle eventuali liti in corso;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10) redigere il rendiconto condominiale annuale della gestione e convocare l'assemblea per la relativa approvazione entro centottanta giorni.</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1130 bis</w:t>
      </w:r>
    </w:p>
    <w:p w:rsidR="00707ECA" w:rsidRPr="00707ECA" w:rsidRDefault="00CC289D" w:rsidP="00CC289D">
      <w:pPr>
        <w:jc w:val="center"/>
        <w:rPr>
          <w:rFonts w:ascii="Times New Roman" w:eastAsia="Times New Roman" w:hAnsi="Times New Roman" w:cs="Times New Roman"/>
          <w:b/>
          <w:i/>
          <w:iCs/>
          <w:sz w:val="24"/>
          <w:szCs w:val="24"/>
          <w:lang w:eastAsia="it-IT"/>
        </w:rPr>
      </w:pPr>
      <w:r w:rsidRPr="00CC289D">
        <w:rPr>
          <w:rFonts w:ascii="Times New Roman" w:eastAsia="Times New Roman" w:hAnsi="Times New Roman" w:cs="Times New Roman"/>
          <w:b/>
          <w:i/>
          <w:iCs/>
          <w:sz w:val="24"/>
          <w:szCs w:val="24"/>
          <w:lang w:eastAsia="it-IT"/>
        </w:rPr>
        <w:t>Rendiconto condominiale</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 xml:space="preserve">Il rendiconto condominiale contiene le voci di entrata e di uscita ed ogni altro dato inerente alla situazione patrimoniale del condominio, ai fondi disponibili ed alle eventuali riserve, che devono essere espressi in modo da consentire l'immediata verifica. Si compone di un registro di contabilità, di un riepilogo finanziario, nonché di una nota sintetica esplicativa della gestione con l'indicazione anche dei rapporti in corso e delle questioni pendenti. L'assemblea condominiale può, in qualsiasi momento o per più annualità specificamente identificate, nominare un revisore che verifichi la contabilità del condominio. La deliberazione è assunta con la maggioranza prevista per la nomina dell'amministratore e la relativa spesa è ripartita fra tutti i condomini sulla base dei millesimi di proprietà. I condomini e i titolari di diritti reali o di godimento sulle unità immobiliari possono prendere visione dei documenti giustificativi di spesa in ogni tempo ed estrarne copia a proprie spese. Le scritture e i documenti giustificativi devono essere conservati per dieci anni dalla data della relativa registrazione. </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 xml:space="preserve">L'assemblea può anche nominare, oltre all'amministratore, un consiglio di condominio composto da almeno tre condomini negli edifici di almeno dodici unità immobiliari. Il consiglio ha funzioni consultive e di controllo. </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1131</w:t>
      </w:r>
    </w:p>
    <w:p w:rsidR="00707ECA" w:rsidRPr="00CC289D" w:rsidRDefault="00707ECA" w:rsidP="00CC289D">
      <w:pPr>
        <w:jc w:val="center"/>
        <w:rPr>
          <w:rFonts w:ascii="Times New Roman" w:hAnsi="Times New Roman" w:cs="Times New Roman"/>
          <w:b/>
          <w:i/>
          <w:iCs/>
          <w:sz w:val="24"/>
          <w:szCs w:val="24"/>
        </w:rPr>
      </w:pPr>
      <w:r w:rsidRPr="00CC289D">
        <w:rPr>
          <w:rFonts w:ascii="Times New Roman" w:hAnsi="Times New Roman" w:cs="Times New Roman"/>
          <w:b/>
          <w:i/>
          <w:iCs/>
          <w:sz w:val="24"/>
          <w:szCs w:val="24"/>
        </w:rPr>
        <w:t>Rappresentanza.</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Nei limiti delle attribuzioni stabilite dall'articolo 1130 o dei maggiori poteri conferitigli dal regolamento di condominio o dall'assemblea, l'amministratore ha la rappresentanza dei partecipanti e può agire in giudizio sia contro i condomini sia contro i terzi.</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Può essere convenuto in giudizio per qualunque azione concernente le parti comuni dell'edificio; a lui sono notificati i provvedimenti dell'autorità amministrativa che si riferiscono allo stesso oggetto.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Qualora la citazione o il provvedimento abbia un contenuto che esorbita dalle attribuzioni dell'amministratore, questi è tenuto a darne senza indugio notizia all'assemblea dei condomini.</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L'amministratore che non adempie a quest'obbligo può essere revocato ed è tenuto al risarcimento dei danni</w:t>
      </w:r>
      <w:r w:rsidR="00CC289D" w:rsidRPr="00CC289D">
        <w:rPr>
          <w:rFonts w:ascii="Times New Roman" w:hAnsi="Times New Roman" w:cs="Times New Roman"/>
          <w:sz w:val="24"/>
          <w:szCs w:val="24"/>
        </w:rPr>
        <w:t>.</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bookmarkStart w:id="0" w:name="_GoBack"/>
      <w:bookmarkEnd w:id="0"/>
      <w:r w:rsidRPr="00CC289D">
        <w:rPr>
          <w:rFonts w:ascii="Times New Roman" w:hAnsi="Times New Roman" w:cs="Times New Roman"/>
          <w:b/>
          <w:sz w:val="24"/>
          <w:szCs w:val="24"/>
        </w:rPr>
        <w:t>Art. 1134</w:t>
      </w:r>
    </w:p>
    <w:p w:rsidR="00707ECA" w:rsidRPr="00707ECA" w:rsidRDefault="00707ECA" w:rsidP="00707ECA">
      <w:pPr>
        <w:jc w:val="center"/>
        <w:rPr>
          <w:rFonts w:ascii="Times New Roman" w:eastAsia="Times New Roman" w:hAnsi="Times New Roman" w:cs="Times New Roman"/>
          <w:i/>
          <w:sz w:val="24"/>
          <w:szCs w:val="24"/>
          <w:lang w:eastAsia="it-IT"/>
        </w:rPr>
      </w:pPr>
      <w:r w:rsidRPr="00707ECA">
        <w:rPr>
          <w:rFonts w:ascii="Times New Roman" w:eastAsia="Times New Roman" w:hAnsi="Times New Roman" w:cs="Times New Roman"/>
          <w:b/>
          <w:bCs/>
          <w:i/>
          <w:sz w:val="24"/>
          <w:szCs w:val="24"/>
          <w:lang w:eastAsia="it-IT"/>
        </w:rPr>
        <w:t>Gestione di iniziativa individuale</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Il condomino che ha assunto la gestione delle parti comuni senza autorizzazione dell'amministratore o dell'assemblea non ha diritto al rimborso, salvo che si tratti di spesa urgente.</w:t>
      </w:r>
    </w:p>
    <w:p w:rsidR="00707ECA" w:rsidRPr="00CC289D" w:rsidRDefault="00707ECA" w:rsidP="00CC289D">
      <w:pPr>
        <w:jc w:val="both"/>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1135</w:t>
      </w:r>
    </w:p>
    <w:p w:rsidR="00707ECA" w:rsidRPr="00707ECA" w:rsidRDefault="00707ECA" w:rsidP="00CC289D">
      <w:pPr>
        <w:jc w:val="center"/>
        <w:rPr>
          <w:rFonts w:ascii="Times New Roman" w:eastAsia="Times New Roman" w:hAnsi="Times New Roman" w:cs="Times New Roman"/>
          <w:i/>
          <w:sz w:val="24"/>
          <w:szCs w:val="24"/>
          <w:lang w:eastAsia="it-IT"/>
        </w:rPr>
      </w:pPr>
      <w:r w:rsidRPr="00707ECA">
        <w:rPr>
          <w:rFonts w:ascii="Times New Roman" w:eastAsia="Times New Roman" w:hAnsi="Times New Roman" w:cs="Times New Roman"/>
          <w:b/>
          <w:bCs/>
          <w:i/>
          <w:sz w:val="24"/>
          <w:szCs w:val="24"/>
          <w:lang w:eastAsia="it-IT"/>
        </w:rPr>
        <w:t>Attribuzioni dell'assemblea dei condomini</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Oltre a quanto è stabilito dagli articoli precedenti, l'assemblea dei condomini provvede:</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1) alla conferma dell'amministratore e all'eventuale sua retribuzione;</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lastRenderedPageBreak/>
        <w:t>2) all'approvazione del preventivo delle spese occorrenti durante l'anno e alla relativa ripartizione tra i condomini;</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3) all'approvazione del rendiconto annuale dell'amministratore e all'impiego del residuo attivo della gestione;</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4) alle opere di manutenzione straordinaria e alle innovazioni, costituendo obbligatoriamente un fondo speciale di importo pari all'ammontare dei lavori.</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L'amministratore non può ordinare lavori di manutenzione straordinaria, salvo che rivestano carattere urgente, ma in questo caso deve riferirne nella prima assemblea.</w:t>
      </w:r>
    </w:p>
    <w:p w:rsidR="00707ECA" w:rsidRPr="00707ECA" w:rsidRDefault="00707ECA" w:rsidP="00CC289D">
      <w:pPr>
        <w:jc w:val="both"/>
        <w:rPr>
          <w:rFonts w:ascii="Times New Roman" w:eastAsia="Times New Roman" w:hAnsi="Times New Roman" w:cs="Times New Roman"/>
          <w:sz w:val="24"/>
          <w:szCs w:val="24"/>
          <w:lang w:eastAsia="it-IT"/>
        </w:rPr>
      </w:pPr>
      <w:r w:rsidRPr="00707ECA">
        <w:rPr>
          <w:rFonts w:ascii="Times New Roman" w:eastAsia="Times New Roman" w:hAnsi="Times New Roman" w:cs="Times New Roman"/>
          <w:sz w:val="24"/>
          <w:szCs w:val="24"/>
          <w:lang w:eastAsia="it-IT"/>
        </w:rPr>
        <w:t>L'assemblea può autorizzare l'amministratore a partecipare e collaborare a progetti, programmi e iniziative territoriali promossi dalle istituzioni locali o da soggetti privati qualificati, anche mediante opere di risanamento di parti comuni degli immobili nonché di demolizione, ricostruzione e messa in sicurezza statica, al fine di favorire il recupero del patrimonio edilizio esistente, la vivibilità urbana, la sicurezza e la sostenibilità ambientale della zona in cui il condominio è ubicato.</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1136</w:t>
      </w:r>
    </w:p>
    <w:p w:rsidR="00CC289D"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i/>
          <w:iCs/>
          <w:sz w:val="24"/>
          <w:szCs w:val="24"/>
        </w:rPr>
        <w:t>Costituzione dell'assemblea e validità delle deliberazioni</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L'assemblea in prima convocazione è regolarmente costituita con l'intervento di tanti condomini che rappresentino i due terzi del valore dell'intero edificio e la maggioranza dei partecipanti al condominio.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Sono valide le deliberazioni approvate con un numero di voti che rappresenti la maggioranza degli intervenuti e almeno la metà del valore dell'edificio.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Se l'assemblea in prima convocazione non può deliberare per mancanza di numero legale, l'assemblea in seconda convocazione delibera in un giorno successivo a quello della prima e, in ogni caso, non oltre dieci giorni dalla medesima. L'assemblea in seconda convocazione è regolarmente costituita con l'intervento di tanti condomini che rappresentino almeno un terzo del valore dell'intero edificio e un terzo dei partecipanti al condominio. La deliberazione è valida se approvata dalla maggioranza degli intervenuti con un numero di voti che rappresenti almeno un terzo del valore dell'edificio. </w:t>
      </w:r>
    </w:p>
    <w:p w:rsidR="00707ECA" w:rsidRPr="00CC289D" w:rsidRDefault="00CC289D" w:rsidP="00CC289D">
      <w:pPr>
        <w:jc w:val="both"/>
        <w:rPr>
          <w:rFonts w:ascii="Times New Roman" w:hAnsi="Times New Roman" w:cs="Times New Roman"/>
          <w:sz w:val="24"/>
          <w:szCs w:val="24"/>
        </w:rPr>
      </w:pPr>
      <w:r w:rsidRPr="00CC289D">
        <w:rPr>
          <w:rFonts w:ascii="Times New Roman" w:hAnsi="Times New Roman" w:cs="Times New Roman"/>
          <w:sz w:val="24"/>
          <w:szCs w:val="24"/>
        </w:rPr>
        <w:t>L</w:t>
      </w:r>
      <w:r w:rsidR="00707ECA" w:rsidRPr="00CC289D">
        <w:rPr>
          <w:rFonts w:ascii="Times New Roman" w:hAnsi="Times New Roman" w:cs="Times New Roman"/>
          <w:sz w:val="24"/>
          <w:szCs w:val="24"/>
        </w:rPr>
        <w:t xml:space="preserve">e deliberazioni che concernono la nomina e la revoca dell'amministratore o le liti attive e passive relative a materie che esorbitano dalle attribuzioni dell'amministratore medesimo, le deliberazioni che concernono la ricostruzione dell'edificio o riparazioni straordinarie di notevole entità e le deliberazioni di cui agli articoli 1117-quater, 1120, secondo comma, 1122-ter nonché 1135, terzo comma, devono essere sempre approvate con la maggioranza stabilita dal secondo comma del presente articolo.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Le deliberazioni di cui all'articolo 1120, primo comma, e all'articolo 1122-bis, terzo comma, devono essere approvate dall'assemblea con un numero di voti che rappresenti la maggioranza degli intervenuti ed almeno i due terzi del valore dell'edificio.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L'assemblea non può deliberare, se non consta che tutti gli aventi diritto sono stati regolarmente convocati.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Delle riunioni dell'assemblea si redige processo verbale da trascrivere nel registro tenuto dall'amministratore.</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1137</w:t>
      </w:r>
    </w:p>
    <w:p w:rsidR="00707ECA" w:rsidRPr="00CC289D" w:rsidRDefault="00707ECA" w:rsidP="00707ECA">
      <w:pPr>
        <w:jc w:val="center"/>
        <w:rPr>
          <w:rFonts w:ascii="Times New Roman" w:hAnsi="Times New Roman" w:cs="Times New Roman"/>
          <w:i/>
          <w:sz w:val="24"/>
          <w:szCs w:val="24"/>
        </w:rPr>
      </w:pPr>
      <w:r w:rsidRPr="00CC289D">
        <w:rPr>
          <w:rFonts w:ascii="Times New Roman" w:hAnsi="Times New Roman" w:cs="Times New Roman"/>
          <w:b/>
          <w:bCs/>
          <w:i/>
          <w:sz w:val="24"/>
          <w:szCs w:val="24"/>
        </w:rPr>
        <w:t>Impugnazione delle deliberazioni dell'assemblea</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Le deliberazioni prese dall'assemblea a norma degli articoli precedenti sono obbligatorie per tutti i condomini.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 xml:space="preserve">Contro le deliberazioni contrarie alla legge o al regolamento di condominio ogni condomino assente, dissenziente o astenuto può adire l'autorità giudiziaria chiedendone l'annullamento nel termine perentorio di trenta giorni, che decorre dalla data della deliberazione per i dissenzienti o astenuti e dalla data di comunicazione della deliberazione per gli assenti.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lastRenderedPageBreak/>
        <w:t xml:space="preserve">L'azione di annullamento non sospende l'esecuzione della deliberazione, salvo che la sospensione sia ordinata dall'autorità giudiziaria. </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L'istanza per ottenere la sospensione proposta prima dell'inizio della causa di merito non sospende né interrompe il termine per la proposizione dell'impugnazione della deliberazione. Per quanto non espressamente previsto, la sospensione è disciplinata dalle norme di cui al libro IV, titolo I, capo III, sezione I, con l'esclusione dell'articolo 669-octies, sesto comma, del codice di procedura civile</w:t>
      </w:r>
      <w:r w:rsidR="00CC289D">
        <w:rPr>
          <w:rFonts w:ascii="Times New Roman" w:hAnsi="Times New Roman" w:cs="Times New Roman"/>
          <w:sz w:val="24"/>
          <w:szCs w:val="24"/>
        </w:rPr>
        <w:t>.</w:t>
      </w:r>
    </w:p>
    <w:p w:rsidR="00707ECA" w:rsidRPr="00CC289D" w:rsidRDefault="00707ECA">
      <w:pPr>
        <w:rPr>
          <w:rFonts w:ascii="Times New Roman" w:hAnsi="Times New Roman" w:cs="Times New Roman"/>
          <w:sz w:val="24"/>
          <w:szCs w:val="24"/>
        </w:rPr>
      </w:pPr>
    </w:p>
    <w:p w:rsidR="00707ECA" w:rsidRPr="00CC289D" w:rsidRDefault="00CC289D" w:rsidP="00CC289D">
      <w:pPr>
        <w:jc w:val="center"/>
        <w:rPr>
          <w:rFonts w:ascii="Times New Roman" w:hAnsi="Times New Roman" w:cs="Times New Roman"/>
          <w:b/>
          <w:sz w:val="24"/>
          <w:szCs w:val="24"/>
        </w:rPr>
      </w:pPr>
      <w:r w:rsidRPr="00CC289D">
        <w:rPr>
          <w:rFonts w:ascii="Times New Roman" w:hAnsi="Times New Roman" w:cs="Times New Roman"/>
          <w:b/>
          <w:sz w:val="24"/>
          <w:szCs w:val="24"/>
        </w:rPr>
        <w:t xml:space="preserve">Art. </w:t>
      </w:r>
      <w:r w:rsidR="00707ECA" w:rsidRPr="00CC289D">
        <w:rPr>
          <w:rFonts w:ascii="Times New Roman" w:hAnsi="Times New Roman" w:cs="Times New Roman"/>
          <w:b/>
          <w:sz w:val="24"/>
          <w:szCs w:val="24"/>
        </w:rPr>
        <w:t>1138</w:t>
      </w:r>
    </w:p>
    <w:p w:rsidR="00707ECA" w:rsidRPr="00CC289D" w:rsidRDefault="00707ECA" w:rsidP="00707ECA">
      <w:pPr>
        <w:jc w:val="center"/>
        <w:rPr>
          <w:rFonts w:ascii="Times New Roman" w:hAnsi="Times New Roman" w:cs="Times New Roman"/>
          <w:i/>
          <w:sz w:val="24"/>
          <w:szCs w:val="24"/>
        </w:rPr>
      </w:pPr>
      <w:r w:rsidRPr="00CC289D">
        <w:rPr>
          <w:rFonts w:ascii="Times New Roman" w:hAnsi="Times New Roman" w:cs="Times New Roman"/>
          <w:b/>
          <w:bCs/>
          <w:i/>
          <w:sz w:val="24"/>
          <w:szCs w:val="24"/>
        </w:rPr>
        <w:t>Regolamento di condominio</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Quando in un edificio il numero dei condomini è superiore a dieci, deve essere formato un regolamento, il quale contenga le norme circa l'uso delle cose comuni e la ripartizione delle spese, secondo i diritti e gli obblighi spettanti a ciascun condomino, nonché le norme per la tutela del decoro dell'edificio e quelle relative all'amministrazione.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Ciascun condomino può prendere l'iniziativa per la formazione del regolamento di condominio o per la revisione di quello esistente.</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Il regolamento deve essere approvato dall'assemblea con la maggioranza stabilita dal secondo comma dell'articolo 1136 ed allegato al registro indicato dal numero 7) dell'articolo 1130. Esso può essere impugnato a norma dell'articolo 1107</w:t>
      </w:r>
      <w:r w:rsidR="00CC289D" w:rsidRPr="00CC289D">
        <w:rPr>
          <w:rFonts w:ascii="Times New Roman" w:hAnsi="Times New Roman" w:cs="Times New Roman"/>
          <w:sz w:val="24"/>
          <w:szCs w:val="24"/>
        </w:rPr>
        <w:t>.</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Le norme del regolamento non possono in alcun modo menomare i diritti di ciascun condomino, quali risultano dagli atti di acquisto e dalle convenzioni, e in nessun caso possono derogare alle disposizioni degli articoli 1118, secondo comma, 1119, 1120, 1129, 1131, 1132, 1136 e 1137.</w:t>
      </w:r>
    </w:p>
    <w:p w:rsidR="00707ECA" w:rsidRPr="00CC289D" w:rsidRDefault="00707ECA" w:rsidP="00CC289D">
      <w:pPr>
        <w:jc w:val="both"/>
        <w:rPr>
          <w:rFonts w:ascii="Times New Roman" w:hAnsi="Times New Roman" w:cs="Times New Roman"/>
          <w:sz w:val="24"/>
          <w:szCs w:val="24"/>
        </w:rPr>
      </w:pPr>
      <w:r w:rsidRPr="00CC289D">
        <w:rPr>
          <w:rFonts w:ascii="Times New Roman" w:hAnsi="Times New Roman" w:cs="Times New Roman"/>
          <w:sz w:val="24"/>
          <w:szCs w:val="24"/>
        </w:rPr>
        <w:t>Le norme del regolamento non possono vietare di possedere o detenere animali domestici.</w:t>
      </w:r>
    </w:p>
    <w:p w:rsidR="00707ECA" w:rsidRDefault="00707ECA">
      <w:pPr>
        <w:rPr>
          <w:rFonts w:ascii="Times New Roman" w:hAnsi="Times New Roman" w:cs="Times New Roman"/>
          <w:sz w:val="24"/>
          <w:szCs w:val="24"/>
        </w:rPr>
      </w:pPr>
    </w:p>
    <w:p w:rsidR="005B2358" w:rsidRDefault="005B2358">
      <w:pPr>
        <w:rPr>
          <w:rFonts w:ascii="Times New Roman" w:hAnsi="Times New Roman" w:cs="Times New Roman"/>
          <w:sz w:val="24"/>
          <w:szCs w:val="24"/>
        </w:rPr>
      </w:pPr>
    </w:p>
    <w:p w:rsidR="004C486F" w:rsidRPr="00CC289D" w:rsidRDefault="004C486F">
      <w:pPr>
        <w:rPr>
          <w:rFonts w:ascii="Times New Roman" w:hAnsi="Times New Roman" w:cs="Times New Roman"/>
          <w:sz w:val="24"/>
          <w:szCs w:val="24"/>
        </w:rPr>
      </w:pPr>
      <w:r>
        <w:rPr>
          <w:rFonts w:ascii="Times New Roman" w:hAnsi="Times New Roman" w:cs="Times New Roman"/>
          <w:sz w:val="24"/>
          <w:szCs w:val="24"/>
        </w:rPr>
        <w:t>Modifiche alle disposizioni di attuazione del codice civile: artt. 63, 64, 66, 67, 68, 69, 70, 71 bis, 71 ter, 71 quater, 155 bis.</w:t>
      </w:r>
    </w:p>
    <w:sectPr w:rsidR="004C486F" w:rsidRPr="00CC28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A1E"/>
    <w:rsid w:val="004C486F"/>
    <w:rsid w:val="005B2358"/>
    <w:rsid w:val="0062141B"/>
    <w:rsid w:val="00626A5A"/>
    <w:rsid w:val="006C6A1E"/>
    <w:rsid w:val="00707ECA"/>
    <w:rsid w:val="007616B3"/>
    <w:rsid w:val="007B5F3D"/>
    <w:rsid w:val="008A68BF"/>
    <w:rsid w:val="009F5C9C"/>
    <w:rsid w:val="00CC289D"/>
    <w:rsid w:val="00D9283D"/>
    <w:rsid w:val="00E033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9F5C9C"/>
    <w:rPr>
      <w:color w:val="0000FF"/>
      <w:u w:val="single"/>
    </w:rPr>
  </w:style>
  <w:style w:type="paragraph" w:styleId="Testofumetto">
    <w:name w:val="Balloon Text"/>
    <w:basedOn w:val="Normale"/>
    <w:link w:val="TestofumettoCarattere"/>
    <w:uiPriority w:val="99"/>
    <w:semiHidden/>
    <w:unhideWhenUsed/>
    <w:rsid w:val="00D9283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28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9F5C9C"/>
    <w:rPr>
      <w:color w:val="0000FF"/>
      <w:u w:val="single"/>
    </w:rPr>
  </w:style>
  <w:style w:type="paragraph" w:styleId="Testofumetto">
    <w:name w:val="Balloon Text"/>
    <w:basedOn w:val="Normale"/>
    <w:link w:val="TestofumettoCarattere"/>
    <w:uiPriority w:val="99"/>
    <w:semiHidden/>
    <w:unhideWhenUsed/>
    <w:rsid w:val="00D9283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28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83969">
      <w:bodyDiv w:val="1"/>
      <w:marLeft w:val="0"/>
      <w:marRight w:val="0"/>
      <w:marTop w:val="0"/>
      <w:marBottom w:val="0"/>
      <w:divBdr>
        <w:top w:val="none" w:sz="0" w:space="0" w:color="auto"/>
        <w:left w:val="none" w:sz="0" w:space="0" w:color="auto"/>
        <w:bottom w:val="none" w:sz="0" w:space="0" w:color="auto"/>
        <w:right w:val="none" w:sz="0" w:space="0" w:color="auto"/>
      </w:divBdr>
      <w:divsChild>
        <w:div w:id="1166089145">
          <w:marLeft w:val="0"/>
          <w:marRight w:val="0"/>
          <w:marTop w:val="0"/>
          <w:marBottom w:val="0"/>
          <w:divBdr>
            <w:top w:val="none" w:sz="0" w:space="0" w:color="auto"/>
            <w:left w:val="none" w:sz="0" w:space="0" w:color="auto"/>
            <w:bottom w:val="none" w:sz="0" w:space="0" w:color="auto"/>
            <w:right w:val="none" w:sz="0" w:space="0" w:color="auto"/>
          </w:divBdr>
          <w:divsChild>
            <w:div w:id="1416127870">
              <w:marLeft w:val="0"/>
              <w:marRight w:val="0"/>
              <w:marTop w:val="0"/>
              <w:marBottom w:val="0"/>
              <w:divBdr>
                <w:top w:val="none" w:sz="0" w:space="0" w:color="auto"/>
                <w:left w:val="none" w:sz="0" w:space="0" w:color="auto"/>
                <w:bottom w:val="none" w:sz="0" w:space="0" w:color="auto"/>
                <w:right w:val="none" w:sz="0" w:space="0" w:color="auto"/>
              </w:divBdr>
            </w:div>
          </w:divsChild>
        </w:div>
        <w:div w:id="220291571">
          <w:marLeft w:val="0"/>
          <w:marRight w:val="0"/>
          <w:marTop w:val="0"/>
          <w:marBottom w:val="0"/>
          <w:divBdr>
            <w:top w:val="none" w:sz="0" w:space="0" w:color="auto"/>
            <w:left w:val="none" w:sz="0" w:space="0" w:color="auto"/>
            <w:bottom w:val="none" w:sz="0" w:space="0" w:color="auto"/>
            <w:right w:val="none" w:sz="0" w:space="0" w:color="auto"/>
          </w:divBdr>
        </w:div>
        <w:div w:id="1029527865">
          <w:marLeft w:val="0"/>
          <w:marRight w:val="0"/>
          <w:marTop w:val="0"/>
          <w:marBottom w:val="0"/>
          <w:divBdr>
            <w:top w:val="none" w:sz="0" w:space="0" w:color="auto"/>
            <w:left w:val="none" w:sz="0" w:space="0" w:color="auto"/>
            <w:bottom w:val="none" w:sz="0" w:space="0" w:color="auto"/>
            <w:right w:val="none" w:sz="0" w:space="0" w:color="auto"/>
          </w:divBdr>
        </w:div>
      </w:divsChild>
    </w:div>
    <w:div w:id="363097330">
      <w:bodyDiv w:val="1"/>
      <w:marLeft w:val="0"/>
      <w:marRight w:val="0"/>
      <w:marTop w:val="0"/>
      <w:marBottom w:val="0"/>
      <w:divBdr>
        <w:top w:val="none" w:sz="0" w:space="0" w:color="auto"/>
        <w:left w:val="none" w:sz="0" w:space="0" w:color="auto"/>
        <w:bottom w:val="none" w:sz="0" w:space="0" w:color="auto"/>
        <w:right w:val="none" w:sz="0" w:space="0" w:color="auto"/>
      </w:divBdr>
      <w:divsChild>
        <w:div w:id="368379810">
          <w:marLeft w:val="0"/>
          <w:marRight w:val="0"/>
          <w:marTop w:val="0"/>
          <w:marBottom w:val="0"/>
          <w:divBdr>
            <w:top w:val="none" w:sz="0" w:space="0" w:color="auto"/>
            <w:left w:val="none" w:sz="0" w:space="0" w:color="auto"/>
            <w:bottom w:val="none" w:sz="0" w:space="0" w:color="auto"/>
            <w:right w:val="none" w:sz="0" w:space="0" w:color="auto"/>
          </w:divBdr>
        </w:div>
        <w:div w:id="1452163144">
          <w:marLeft w:val="0"/>
          <w:marRight w:val="0"/>
          <w:marTop w:val="0"/>
          <w:marBottom w:val="0"/>
          <w:divBdr>
            <w:top w:val="none" w:sz="0" w:space="0" w:color="auto"/>
            <w:left w:val="none" w:sz="0" w:space="0" w:color="auto"/>
            <w:bottom w:val="none" w:sz="0" w:space="0" w:color="auto"/>
            <w:right w:val="none" w:sz="0" w:space="0" w:color="auto"/>
          </w:divBdr>
        </w:div>
        <w:div w:id="613485177">
          <w:marLeft w:val="0"/>
          <w:marRight w:val="0"/>
          <w:marTop w:val="0"/>
          <w:marBottom w:val="0"/>
          <w:divBdr>
            <w:top w:val="none" w:sz="0" w:space="0" w:color="auto"/>
            <w:left w:val="none" w:sz="0" w:space="0" w:color="auto"/>
            <w:bottom w:val="none" w:sz="0" w:space="0" w:color="auto"/>
            <w:right w:val="none" w:sz="0" w:space="0" w:color="auto"/>
          </w:divBdr>
        </w:div>
        <w:div w:id="1161387335">
          <w:marLeft w:val="0"/>
          <w:marRight w:val="0"/>
          <w:marTop w:val="0"/>
          <w:marBottom w:val="0"/>
          <w:divBdr>
            <w:top w:val="none" w:sz="0" w:space="0" w:color="auto"/>
            <w:left w:val="none" w:sz="0" w:space="0" w:color="auto"/>
            <w:bottom w:val="none" w:sz="0" w:space="0" w:color="auto"/>
            <w:right w:val="none" w:sz="0" w:space="0" w:color="auto"/>
          </w:divBdr>
        </w:div>
        <w:div w:id="163710261">
          <w:marLeft w:val="0"/>
          <w:marRight w:val="0"/>
          <w:marTop w:val="0"/>
          <w:marBottom w:val="0"/>
          <w:divBdr>
            <w:top w:val="none" w:sz="0" w:space="0" w:color="auto"/>
            <w:left w:val="none" w:sz="0" w:space="0" w:color="auto"/>
            <w:bottom w:val="none" w:sz="0" w:space="0" w:color="auto"/>
            <w:right w:val="none" w:sz="0" w:space="0" w:color="auto"/>
          </w:divBdr>
        </w:div>
        <w:div w:id="1346400739">
          <w:marLeft w:val="0"/>
          <w:marRight w:val="0"/>
          <w:marTop w:val="0"/>
          <w:marBottom w:val="0"/>
          <w:divBdr>
            <w:top w:val="none" w:sz="0" w:space="0" w:color="auto"/>
            <w:left w:val="none" w:sz="0" w:space="0" w:color="auto"/>
            <w:bottom w:val="none" w:sz="0" w:space="0" w:color="auto"/>
            <w:right w:val="none" w:sz="0" w:space="0" w:color="auto"/>
          </w:divBdr>
        </w:div>
        <w:div w:id="826167867">
          <w:marLeft w:val="0"/>
          <w:marRight w:val="0"/>
          <w:marTop w:val="0"/>
          <w:marBottom w:val="0"/>
          <w:divBdr>
            <w:top w:val="none" w:sz="0" w:space="0" w:color="auto"/>
            <w:left w:val="none" w:sz="0" w:space="0" w:color="auto"/>
            <w:bottom w:val="none" w:sz="0" w:space="0" w:color="auto"/>
            <w:right w:val="none" w:sz="0" w:space="0" w:color="auto"/>
          </w:divBdr>
        </w:div>
        <w:div w:id="924538657">
          <w:marLeft w:val="0"/>
          <w:marRight w:val="0"/>
          <w:marTop w:val="0"/>
          <w:marBottom w:val="0"/>
          <w:divBdr>
            <w:top w:val="none" w:sz="0" w:space="0" w:color="auto"/>
            <w:left w:val="none" w:sz="0" w:space="0" w:color="auto"/>
            <w:bottom w:val="none" w:sz="0" w:space="0" w:color="auto"/>
            <w:right w:val="none" w:sz="0" w:space="0" w:color="auto"/>
          </w:divBdr>
        </w:div>
        <w:div w:id="1017121028">
          <w:marLeft w:val="0"/>
          <w:marRight w:val="0"/>
          <w:marTop w:val="0"/>
          <w:marBottom w:val="0"/>
          <w:divBdr>
            <w:top w:val="none" w:sz="0" w:space="0" w:color="auto"/>
            <w:left w:val="none" w:sz="0" w:space="0" w:color="auto"/>
            <w:bottom w:val="none" w:sz="0" w:space="0" w:color="auto"/>
            <w:right w:val="none" w:sz="0" w:space="0" w:color="auto"/>
          </w:divBdr>
        </w:div>
        <w:div w:id="1523740229">
          <w:marLeft w:val="0"/>
          <w:marRight w:val="0"/>
          <w:marTop w:val="0"/>
          <w:marBottom w:val="0"/>
          <w:divBdr>
            <w:top w:val="none" w:sz="0" w:space="0" w:color="auto"/>
            <w:left w:val="none" w:sz="0" w:space="0" w:color="auto"/>
            <w:bottom w:val="none" w:sz="0" w:space="0" w:color="auto"/>
            <w:right w:val="none" w:sz="0" w:space="0" w:color="auto"/>
          </w:divBdr>
        </w:div>
        <w:div w:id="2126121018">
          <w:marLeft w:val="0"/>
          <w:marRight w:val="0"/>
          <w:marTop w:val="0"/>
          <w:marBottom w:val="0"/>
          <w:divBdr>
            <w:top w:val="none" w:sz="0" w:space="0" w:color="auto"/>
            <w:left w:val="none" w:sz="0" w:space="0" w:color="auto"/>
            <w:bottom w:val="none" w:sz="0" w:space="0" w:color="auto"/>
            <w:right w:val="none" w:sz="0" w:space="0" w:color="auto"/>
          </w:divBdr>
        </w:div>
      </w:divsChild>
    </w:div>
    <w:div w:id="561136659">
      <w:bodyDiv w:val="1"/>
      <w:marLeft w:val="0"/>
      <w:marRight w:val="0"/>
      <w:marTop w:val="0"/>
      <w:marBottom w:val="0"/>
      <w:divBdr>
        <w:top w:val="none" w:sz="0" w:space="0" w:color="auto"/>
        <w:left w:val="none" w:sz="0" w:space="0" w:color="auto"/>
        <w:bottom w:val="none" w:sz="0" w:space="0" w:color="auto"/>
        <w:right w:val="none" w:sz="0" w:space="0" w:color="auto"/>
      </w:divBdr>
      <w:divsChild>
        <w:div w:id="1728144316">
          <w:marLeft w:val="0"/>
          <w:marRight w:val="0"/>
          <w:marTop w:val="0"/>
          <w:marBottom w:val="0"/>
          <w:divBdr>
            <w:top w:val="none" w:sz="0" w:space="0" w:color="auto"/>
            <w:left w:val="none" w:sz="0" w:space="0" w:color="auto"/>
            <w:bottom w:val="none" w:sz="0" w:space="0" w:color="auto"/>
            <w:right w:val="none" w:sz="0" w:space="0" w:color="auto"/>
          </w:divBdr>
        </w:div>
        <w:div w:id="1145897287">
          <w:marLeft w:val="0"/>
          <w:marRight w:val="0"/>
          <w:marTop w:val="0"/>
          <w:marBottom w:val="0"/>
          <w:divBdr>
            <w:top w:val="none" w:sz="0" w:space="0" w:color="auto"/>
            <w:left w:val="none" w:sz="0" w:space="0" w:color="auto"/>
            <w:bottom w:val="none" w:sz="0" w:space="0" w:color="auto"/>
            <w:right w:val="none" w:sz="0" w:space="0" w:color="auto"/>
          </w:divBdr>
        </w:div>
        <w:div w:id="2138331661">
          <w:marLeft w:val="0"/>
          <w:marRight w:val="0"/>
          <w:marTop w:val="0"/>
          <w:marBottom w:val="0"/>
          <w:divBdr>
            <w:top w:val="none" w:sz="0" w:space="0" w:color="auto"/>
            <w:left w:val="none" w:sz="0" w:space="0" w:color="auto"/>
            <w:bottom w:val="none" w:sz="0" w:space="0" w:color="auto"/>
            <w:right w:val="none" w:sz="0" w:space="0" w:color="auto"/>
          </w:divBdr>
        </w:div>
        <w:div w:id="1178496371">
          <w:marLeft w:val="0"/>
          <w:marRight w:val="0"/>
          <w:marTop w:val="0"/>
          <w:marBottom w:val="0"/>
          <w:divBdr>
            <w:top w:val="none" w:sz="0" w:space="0" w:color="auto"/>
            <w:left w:val="none" w:sz="0" w:space="0" w:color="auto"/>
            <w:bottom w:val="none" w:sz="0" w:space="0" w:color="auto"/>
            <w:right w:val="none" w:sz="0" w:space="0" w:color="auto"/>
          </w:divBdr>
        </w:div>
        <w:div w:id="2005090429">
          <w:marLeft w:val="0"/>
          <w:marRight w:val="0"/>
          <w:marTop w:val="0"/>
          <w:marBottom w:val="0"/>
          <w:divBdr>
            <w:top w:val="none" w:sz="0" w:space="0" w:color="auto"/>
            <w:left w:val="none" w:sz="0" w:space="0" w:color="auto"/>
            <w:bottom w:val="none" w:sz="0" w:space="0" w:color="auto"/>
            <w:right w:val="none" w:sz="0" w:space="0" w:color="auto"/>
          </w:divBdr>
        </w:div>
        <w:div w:id="410855616">
          <w:marLeft w:val="0"/>
          <w:marRight w:val="0"/>
          <w:marTop w:val="0"/>
          <w:marBottom w:val="0"/>
          <w:divBdr>
            <w:top w:val="none" w:sz="0" w:space="0" w:color="auto"/>
            <w:left w:val="none" w:sz="0" w:space="0" w:color="auto"/>
            <w:bottom w:val="none" w:sz="0" w:space="0" w:color="auto"/>
            <w:right w:val="none" w:sz="0" w:space="0" w:color="auto"/>
          </w:divBdr>
        </w:div>
        <w:div w:id="1364746755">
          <w:marLeft w:val="0"/>
          <w:marRight w:val="0"/>
          <w:marTop w:val="0"/>
          <w:marBottom w:val="0"/>
          <w:divBdr>
            <w:top w:val="none" w:sz="0" w:space="0" w:color="auto"/>
            <w:left w:val="none" w:sz="0" w:space="0" w:color="auto"/>
            <w:bottom w:val="none" w:sz="0" w:space="0" w:color="auto"/>
            <w:right w:val="none" w:sz="0" w:space="0" w:color="auto"/>
          </w:divBdr>
        </w:div>
      </w:divsChild>
    </w:div>
    <w:div w:id="621812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8115">
          <w:marLeft w:val="0"/>
          <w:marRight w:val="0"/>
          <w:marTop w:val="0"/>
          <w:marBottom w:val="0"/>
          <w:divBdr>
            <w:top w:val="none" w:sz="0" w:space="0" w:color="auto"/>
            <w:left w:val="none" w:sz="0" w:space="0" w:color="auto"/>
            <w:bottom w:val="none" w:sz="0" w:space="0" w:color="auto"/>
            <w:right w:val="none" w:sz="0" w:space="0" w:color="auto"/>
          </w:divBdr>
        </w:div>
        <w:div w:id="967660247">
          <w:marLeft w:val="0"/>
          <w:marRight w:val="0"/>
          <w:marTop w:val="0"/>
          <w:marBottom w:val="0"/>
          <w:divBdr>
            <w:top w:val="none" w:sz="0" w:space="0" w:color="auto"/>
            <w:left w:val="none" w:sz="0" w:space="0" w:color="auto"/>
            <w:bottom w:val="none" w:sz="0" w:space="0" w:color="auto"/>
            <w:right w:val="none" w:sz="0" w:space="0" w:color="auto"/>
          </w:divBdr>
        </w:div>
      </w:divsChild>
    </w:div>
    <w:div w:id="709915791">
      <w:bodyDiv w:val="1"/>
      <w:marLeft w:val="0"/>
      <w:marRight w:val="0"/>
      <w:marTop w:val="0"/>
      <w:marBottom w:val="0"/>
      <w:divBdr>
        <w:top w:val="none" w:sz="0" w:space="0" w:color="auto"/>
        <w:left w:val="none" w:sz="0" w:space="0" w:color="auto"/>
        <w:bottom w:val="none" w:sz="0" w:space="0" w:color="auto"/>
        <w:right w:val="none" w:sz="0" w:space="0" w:color="auto"/>
      </w:divBdr>
      <w:divsChild>
        <w:div w:id="8875600">
          <w:marLeft w:val="0"/>
          <w:marRight w:val="0"/>
          <w:marTop w:val="0"/>
          <w:marBottom w:val="0"/>
          <w:divBdr>
            <w:top w:val="none" w:sz="0" w:space="0" w:color="auto"/>
            <w:left w:val="none" w:sz="0" w:space="0" w:color="auto"/>
            <w:bottom w:val="none" w:sz="0" w:space="0" w:color="auto"/>
            <w:right w:val="none" w:sz="0" w:space="0" w:color="auto"/>
          </w:divBdr>
        </w:div>
        <w:div w:id="251742367">
          <w:marLeft w:val="0"/>
          <w:marRight w:val="0"/>
          <w:marTop w:val="0"/>
          <w:marBottom w:val="0"/>
          <w:divBdr>
            <w:top w:val="none" w:sz="0" w:space="0" w:color="auto"/>
            <w:left w:val="none" w:sz="0" w:space="0" w:color="auto"/>
            <w:bottom w:val="none" w:sz="0" w:space="0" w:color="auto"/>
            <w:right w:val="none" w:sz="0" w:space="0" w:color="auto"/>
          </w:divBdr>
        </w:div>
        <w:div w:id="686562450">
          <w:marLeft w:val="0"/>
          <w:marRight w:val="0"/>
          <w:marTop w:val="0"/>
          <w:marBottom w:val="0"/>
          <w:divBdr>
            <w:top w:val="none" w:sz="0" w:space="0" w:color="auto"/>
            <w:left w:val="none" w:sz="0" w:space="0" w:color="auto"/>
            <w:bottom w:val="none" w:sz="0" w:space="0" w:color="auto"/>
            <w:right w:val="none" w:sz="0" w:space="0" w:color="auto"/>
          </w:divBdr>
        </w:div>
        <w:div w:id="526866181">
          <w:marLeft w:val="0"/>
          <w:marRight w:val="0"/>
          <w:marTop w:val="0"/>
          <w:marBottom w:val="0"/>
          <w:divBdr>
            <w:top w:val="none" w:sz="0" w:space="0" w:color="auto"/>
            <w:left w:val="none" w:sz="0" w:space="0" w:color="auto"/>
            <w:bottom w:val="none" w:sz="0" w:space="0" w:color="auto"/>
            <w:right w:val="none" w:sz="0" w:space="0" w:color="auto"/>
          </w:divBdr>
        </w:div>
        <w:div w:id="262300687">
          <w:marLeft w:val="0"/>
          <w:marRight w:val="0"/>
          <w:marTop w:val="0"/>
          <w:marBottom w:val="0"/>
          <w:divBdr>
            <w:top w:val="none" w:sz="0" w:space="0" w:color="auto"/>
            <w:left w:val="none" w:sz="0" w:space="0" w:color="auto"/>
            <w:bottom w:val="none" w:sz="0" w:space="0" w:color="auto"/>
            <w:right w:val="none" w:sz="0" w:space="0" w:color="auto"/>
          </w:divBdr>
        </w:div>
      </w:divsChild>
    </w:div>
    <w:div w:id="1078285727">
      <w:bodyDiv w:val="1"/>
      <w:marLeft w:val="0"/>
      <w:marRight w:val="0"/>
      <w:marTop w:val="0"/>
      <w:marBottom w:val="0"/>
      <w:divBdr>
        <w:top w:val="none" w:sz="0" w:space="0" w:color="auto"/>
        <w:left w:val="none" w:sz="0" w:space="0" w:color="auto"/>
        <w:bottom w:val="none" w:sz="0" w:space="0" w:color="auto"/>
        <w:right w:val="none" w:sz="0" w:space="0" w:color="auto"/>
      </w:divBdr>
      <w:divsChild>
        <w:div w:id="1160390795">
          <w:marLeft w:val="0"/>
          <w:marRight w:val="0"/>
          <w:marTop w:val="0"/>
          <w:marBottom w:val="0"/>
          <w:divBdr>
            <w:top w:val="none" w:sz="0" w:space="0" w:color="auto"/>
            <w:left w:val="none" w:sz="0" w:space="0" w:color="auto"/>
            <w:bottom w:val="none" w:sz="0" w:space="0" w:color="auto"/>
            <w:right w:val="none" w:sz="0" w:space="0" w:color="auto"/>
          </w:divBdr>
        </w:div>
        <w:div w:id="2016301530">
          <w:marLeft w:val="0"/>
          <w:marRight w:val="0"/>
          <w:marTop w:val="0"/>
          <w:marBottom w:val="0"/>
          <w:divBdr>
            <w:top w:val="none" w:sz="0" w:space="0" w:color="auto"/>
            <w:left w:val="none" w:sz="0" w:space="0" w:color="auto"/>
            <w:bottom w:val="none" w:sz="0" w:space="0" w:color="auto"/>
            <w:right w:val="none" w:sz="0" w:space="0" w:color="auto"/>
          </w:divBdr>
        </w:div>
        <w:div w:id="787774163">
          <w:marLeft w:val="0"/>
          <w:marRight w:val="0"/>
          <w:marTop w:val="0"/>
          <w:marBottom w:val="0"/>
          <w:divBdr>
            <w:top w:val="none" w:sz="0" w:space="0" w:color="auto"/>
            <w:left w:val="none" w:sz="0" w:space="0" w:color="auto"/>
            <w:bottom w:val="none" w:sz="0" w:space="0" w:color="auto"/>
            <w:right w:val="none" w:sz="0" w:space="0" w:color="auto"/>
          </w:divBdr>
        </w:div>
        <w:div w:id="422187391">
          <w:marLeft w:val="0"/>
          <w:marRight w:val="0"/>
          <w:marTop w:val="0"/>
          <w:marBottom w:val="0"/>
          <w:divBdr>
            <w:top w:val="none" w:sz="0" w:space="0" w:color="auto"/>
            <w:left w:val="none" w:sz="0" w:space="0" w:color="auto"/>
            <w:bottom w:val="none" w:sz="0" w:space="0" w:color="auto"/>
            <w:right w:val="none" w:sz="0" w:space="0" w:color="auto"/>
          </w:divBdr>
        </w:div>
      </w:divsChild>
    </w:div>
    <w:div w:id="1146632293">
      <w:bodyDiv w:val="1"/>
      <w:marLeft w:val="0"/>
      <w:marRight w:val="0"/>
      <w:marTop w:val="0"/>
      <w:marBottom w:val="0"/>
      <w:divBdr>
        <w:top w:val="none" w:sz="0" w:space="0" w:color="auto"/>
        <w:left w:val="none" w:sz="0" w:space="0" w:color="auto"/>
        <w:bottom w:val="none" w:sz="0" w:space="0" w:color="auto"/>
        <w:right w:val="none" w:sz="0" w:space="0" w:color="auto"/>
      </w:divBdr>
      <w:divsChild>
        <w:div w:id="1281646934">
          <w:marLeft w:val="0"/>
          <w:marRight w:val="0"/>
          <w:marTop w:val="0"/>
          <w:marBottom w:val="0"/>
          <w:divBdr>
            <w:top w:val="none" w:sz="0" w:space="0" w:color="auto"/>
            <w:left w:val="none" w:sz="0" w:space="0" w:color="auto"/>
            <w:bottom w:val="none" w:sz="0" w:space="0" w:color="auto"/>
            <w:right w:val="none" w:sz="0" w:space="0" w:color="auto"/>
          </w:divBdr>
        </w:div>
      </w:divsChild>
    </w:div>
    <w:div w:id="1156217240">
      <w:bodyDiv w:val="1"/>
      <w:marLeft w:val="0"/>
      <w:marRight w:val="0"/>
      <w:marTop w:val="0"/>
      <w:marBottom w:val="0"/>
      <w:divBdr>
        <w:top w:val="none" w:sz="0" w:space="0" w:color="auto"/>
        <w:left w:val="none" w:sz="0" w:space="0" w:color="auto"/>
        <w:bottom w:val="none" w:sz="0" w:space="0" w:color="auto"/>
        <w:right w:val="none" w:sz="0" w:space="0" w:color="auto"/>
      </w:divBdr>
      <w:divsChild>
        <w:div w:id="1584679602">
          <w:marLeft w:val="0"/>
          <w:marRight w:val="0"/>
          <w:marTop w:val="0"/>
          <w:marBottom w:val="0"/>
          <w:divBdr>
            <w:top w:val="none" w:sz="0" w:space="0" w:color="auto"/>
            <w:left w:val="none" w:sz="0" w:space="0" w:color="auto"/>
            <w:bottom w:val="none" w:sz="0" w:space="0" w:color="auto"/>
            <w:right w:val="none" w:sz="0" w:space="0" w:color="auto"/>
          </w:divBdr>
        </w:div>
        <w:div w:id="775826337">
          <w:marLeft w:val="0"/>
          <w:marRight w:val="0"/>
          <w:marTop w:val="0"/>
          <w:marBottom w:val="0"/>
          <w:divBdr>
            <w:top w:val="none" w:sz="0" w:space="0" w:color="auto"/>
            <w:left w:val="none" w:sz="0" w:space="0" w:color="auto"/>
            <w:bottom w:val="none" w:sz="0" w:space="0" w:color="auto"/>
            <w:right w:val="none" w:sz="0" w:space="0" w:color="auto"/>
          </w:divBdr>
        </w:div>
        <w:div w:id="1574896563">
          <w:marLeft w:val="0"/>
          <w:marRight w:val="0"/>
          <w:marTop w:val="0"/>
          <w:marBottom w:val="0"/>
          <w:divBdr>
            <w:top w:val="none" w:sz="0" w:space="0" w:color="auto"/>
            <w:left w:val="none" w:sz="0" w:space="0" w:color="auto"/>
            <w:bottom w:val="none" w:sz="0" w:space="0" w:color="auto"/>
            <w:right w:val="none" w:sz="0" w:space="0" w:color="auto"/>
          </w:divBdr>
        </w:div>
        <w:div w:id="1811556530">
          <w:marLeft w:val="0"/>
          <w:marRight w:val="0"/>
          <w:marTop w:val="0"/>
          <w:marBottom w:val="0"/>
          <w:divBdr>
            <w:top w:val="none" w:sz="0" w:space="0" w:color="auto"/>
            <w:left w:val="none" w:sz="0" w:space="0" w:color="auto"/>
            <w:bottom w:val="none" w:sz="0" w:space="0" w:color="auto"/>
            <w:right w:val="none" w:sz="0" w:space="0" w:color="auto"/>
          </w:divBdr>
        </w:div>
        <w:div w:id="997727155">
          <w:marLeft w:val="0"/>
          <w:marRight w:val="0"/>
          <w:marTop w:val="0"/>
          <w:marBottom w:val="0"/>
          <w:divBdr>
            <w:top w:val="none" w:sz="0" w:space="0" w:color="auto"/>
            <w:left w:val="none" w:sz="0" w:space="0" w:color="auto"/>
            <w:bottom w:val="none" w:sz="0" w:space="0" w:color="auto"/>
            <w:right w:val="none" w:sz="0" w:space="0" w:color="auto"/>
          </w:divBdr>
        </w:div>
      </w:divsChild>
    </w:div>
    <w:div w:id="1237471115">
      <w:bodyDiv w:val="1"/>
      <w:marLeft w:val="0"/>
      <w:marRight w:val="0"/>
      <w:marTop w:val="0"/>
      <w:marBottom w:val="0"/>
      <w:divBdr>
        <w:top w:val="none" w:sz="0" w:space="0" w:color="auto"/>
        <w:left w:val="none" w:sz="0" w:space="0" w:color="auto"/>
        <w:bottom w:val="none" w:sz="0" w:space="0" w:color="auto"/>
        <w:right w:val="none" w:sz="0" w:space="0" w:color="auto"/>
      </w:divBdr>
      <w:divsChild>
        <w:div w:id="1752310693">
          <w:marLeft w:val="0"/>
          <w:marRight w:val="0"/>
          <w:marTop w:val="0"/>
          <w:marBottom w:val="0"/>
          <w:divBdr>
            <w:top w:val="none" w:sz="0" w:space="0" w:color="auto"/>
            <w:left w:val="none" w:sz="0" w:space="0" w:color="auto"/>
            <w:bottom w:val="none" w:sz="0" w:space="0" w:color="auto"/>
            <w:right w:val="none" w:sz="0" w:space="0" w:color="auto"/>
          </w:divBdr>
          <w:divsChild>
            <w:div w:id="1712877512">
              <w:marLeft w:val="0"/>
              <w:marRight w:val="0"/>
              <w:marTop w:val="0"/>
              <w:marBottom w:val="0"/>
              <w:divBdr>
                <w:top w:val="none" w:sz="0" w:space="0" w:color="auto"/>
                <w:left w:val="none" w:sz="0" w:space="0" w:color="auto"/>
                <w:bottom w:val="none" w:sz="0" w:space="0" w:color="auto"/>
                <w:right w:val="none" w:sz="0" w:space="0" w:color="auto"/>
              </w:divBdr>
            </w:div>
          </w:divsChild>
        </w:div>
        <w:div w:id="106315298">
          <w:marLeft w:val="0"/>
          <w:marRight w:val="0"/>
          <w:marTop w:val="0"/>
          <w:marBottom w:val="0"/>
          <w:divBdr>
            <w:top w:val="none" w:sz="0" w:space="0" w:color="auto"/>
            <w:left w:val="none" w:sz="0" w:space="0" w:color="auto"/>
            <w:bottom w:val="none" w:sz="0" w:space="0" w:color="auto"/>
            <w:right w:val="none" w:sz="0" w:space="0" w:color="auto"/>
          </w:divBdr>
        </w:div>
      </w:divsChild>
    </w:div>
    <w:div w:id="1245721192">
      <w:bodyDiv w:val="1"/>
      <w:marLeft w:val="0"/>
      <w:marRight w:val="0"/>
      <w:marTop w:val="0"/>
      <w:marBottom w:val="0"/>
      <w:divBdr>
        <w:top w:val="none" w:sz="0" w:space="0" w:color="auto"/>
        <w:left w:val="none" w:sz="0" w:space="0" w:color="auto"/>
        <w:bottom w:val="none" w:sz="0" w:space="0" w:color="auto"/>
        <w:right w:val="none" w:sz="0" w:space="0" w:color="auto"/>
      </w:divBdr>
      <w:divsChild>
        <w:div w:id="1281645674">
          <w:marLeft w:val="0"/>
          <w:marRight w:val="0"/>
          <w:marTop w:val="0"/>
          <w:marBottom w:val="0"/>
          <w:divBdr>
            <w:top w:val="none" w:sz="0" w:space="0" w:color="auto"/>
            <w:left w:val="none" w:sz="0" w:space="0" w:color="auto"/>
            <w:bottom w:val="none" w:sz="0" w:space="0" w:color="auto"/>
            <w:right w:val="none" w:sz="0" w:space="0" w:color="auto"/>
          </w:divBdr>
        </w:div>
        <w:div w:id="1704210909">
          <w:marLeft w:val="0"/>
          <w:marRight w:val="0"/>
          <w:marTop w:val="0"/>
          <w:marBottom w:val="0"/>
          <w:divBdr>
            <w:top w:val="none" w:sz="0" w:space="0" w:color="auto"/>
            <w:left w:val="none" w:sz="0" w:space="0" w:color="auto"/>
            <w:bottom w:val="none" w:sz="0" w:space="0" w:color="auto"/>
            <w:right w:val="none" w:sz="0" w:space="0" w:color="auto"/>
          </w:divBdr>
        </w:div>
        <w:div w:id="2096394104">
          <w:marLeft w:val="0"/>
          <w:marRight w:val="0"/>
          <w:marTop w:val="0"/>
          <w:marBottom w:val="0"/>
          <w:divBdr>
            <w:top w:val="none" w:sz="0" w:space="0" w:color="auto"/>
            <w:left w:val="none" w:sz="0" w:space="0" w:color="auto"/>
            <w:bottom w:val="none" w:sz="0" w:space="0" w:color="auto"/>
            <w:right w:val="none" w:sz="0" w:space="0" w:color="auto"/>
          </w:divBdr>
        </w:div>
        <w:div w:id="2138571341">
          <w:marLeft w:val="0"/>
          <w:marRight w:val="0"/>
          <w:marTop w:val="0"/>
          <w:marBottom w:val="0"/>
          <w:divBdr>
            <w:top w:val="none" w:sz="0" w:space="0" w:color="auto"/>
            <w:left w:val="none" w:sz="0" w:space="0" w:color="auto"/>
            <w:bottom w:val="none" w:sz="0" w:space="0" w:color="auto"/>
            <w:right w:val="none" w:sz="0" w:space="0" w:color="auto"/>
          </w:divBdr>
        </w:div>
      </w:divsChild>
    </w:div>
    <w:div w:id="1372221776">
      <w:bodyDiv w:val="1"/>
      <w:marLeft w:val="0"/>
      <w:marRight w:val="0"/>
      <w:marTop w:val="0"/>
      <w:marBottom w:val="0"/>
      <w:divBdr>
        <w:top w:val="none" w:sz="0" w:space="0" w:color="auto"/>
        <w:left w:val="none" w:sz="0" w:space="0" w:color="auto"/>
        <w:bottom w:val="none" w:sz="0" w:space="0" w:color="auto"/>
        <w:right w:val="none" w:sz="0" w:space="0" w:color="auto"/>
      </w:divBdr>
      <w:divsChild>
        <w:div w:id="275797197">
          <w:marLeft w:val="0"/>
          <w:marRight w:val="0"/>
          <w:marTop w:val="0"/>
          <w:marBottom w:val="0"/>
          <w:divBdr>
            <w:top w:val="none" w:sz="0" w:space="0" w:color="auto"/>
            <w:left w:val="none" w:sz="0" w:space="0" w:color="auto"/>
            <w:bottom w:val="none" w:sz="0" w:space="0" w:color="auto"/>
            <w:right w:val="none" w:sz="0" w:space="0" w:color="auto"/>
          </w:divBdr>
        </w:div>
        <w:div w:id="1744914828">
          <w:marLeft w:val="0"/>
          <w:marRight w:val="0"/>
          <w:marTop w:val="0"/>
          <w:marBottom w:val="0"/>
          <w:divBdr>
            <w:top w:val="none" w:sz="0" w:space="0" w:color="auto"/>
            <w:left w:val="none" w:sz="0" w:space="0" w:color="auto"/>
            <w:bottom w:val="none" w:sz="0" w:space="0" w:color="auto"/>
            <w:right w:val="none" w:sz="0" w:space="0" w:color="auto"/>
          </w:divBdr>
        </w:div>
        <w:div w:id="775292060">
          <w:marLeft w:val="0"/>
          <w:marRight w:val="0"/>
          <w:marTop w:val="0"/>
          <w:marBottom w:val="0"/>
          <w:divBdr>
            <w:top w:val="none" w:sz="0" w:space="0" w:color="auto"/>
            <w:left w:val="none" w:sz="0" w:space="0" w:color="auto"/>
            <w:bottom w:val="none" w:sz="0" w:space="0" w:color="auto"/>
            <w:right w:val="none" w:sz="0" w:space="0" w:color="auto"/>
          </w:divBdr>
        </w:div>
        <w:div w:id="1689599081">
          <w:marLeft w:val="0"/>
          <w:marRight w:val="0"/>
          <w:marTop w:val="0"/>
          <w:marBottom w:val="0"/>
          <w:divBdr>
            <w:top w:val="none" w:sz="0" w:space="0" w:color="auto"/>
            <w:left w:val="none" w:sz="0" w:space="0" w:color="auto"/>
            <w:bottom w:val="none" w:sz="0" w:space="0" w:color="auto"/>
            <w:right w:val="none" w:sz="0" w:space="0" w:color="auto"/>
          </w:divBdr>
        </w:div>
        <w:div w:id="666254752">
          <w:marLeft w:val="0"/>
          <w:marRight w:val="0"/>
          <w:marTop w:val="0"/>
          <w:marBottom w:val="0"/>
          <w:divBdr>
            <w:top w:val="none" w:sz="0" w:space="0" w:color="auto"/>
            <w:left w:val="none" w:sz="0" w:space="0" w:color="auto"/>
            <w:bottom w:val="none" w:sz="0" w:space="0" w:color="auto"/>
            <w:right w:val="none" w:sz="0" w:space="0" w:color="auto"/>
          </w:divBdr>
        </w:div>
        <w:div w:id="1131364718">
          <w:marLeft w:val="0"/>
          <w:marRight w:val="0"/>
          <w:marTop w:val="0"/>
          <w:marBottom w:val="0"/>
          <w:divBdr>
            <w:top w:val="none" w:sz="0" w:space="0" w:color="auto"/>
            <w:left w:val="none" w:sz="0" w:space="0" w:color="auto"/>
            <w:bottom w:val="none" w:sz="0" w:space="0" w:color="auto"/>
            <w:right w:val="none" w:sz="0" w:space="0" w:color="auto"/>
          </w:divBdr>
        </w:div>
        <w:div w:id="966590850">
          <w:marLeft w:val="0"/>
          <w:marRight w:val="0"/>
          <w:marTop w:val="0"/>
          <w:marBottom w:val="0"/>
          <w:divBdr>
            <w:top w:val="none" w:sz="0" w:space="0" w:color="auto"/>
            <w:left w:val="none" w:sz="0" w:space="0" w:color="auto"/>
            <w:bottom w:val="none" w:sz="0" w:space="0" w:color="auto"/>
            <w:right w:val="none" w:sz="0" w:space="0" w:color="auto"/>
          </w:divBdr>
        </w:div>
      </w:divsChild>
    </w:div>
    <w:div w:id="1511338814">
      <w:bodyDiv w:val="1"/>
      <w:marLeft w:val="0"/>
      <w:marRight w:val="0"/>
      <w:marTop w:val="0"/>
      <w:marBottom w:val="0"/>
      <w:divBdr>
        <w:top w:val="none" w:sz="0" w:space="0" w:color="auto"/>
        <w:left w:val="none" w:sz="0" w:space="0" w:color="auto"/>
        <w:bottom w:val="none" w:sz="0" w:space="0" w:color="auto"/>
        <w:right w:val="none" w:sz="0" w:space="0" w:color="auto"/>
      </w:divBdr>
      <w:divsChild>
        <w:div w:id="1110322034">
          <w:marLeft w:val="0"/>
          <w:marRight w:val="0"/>
          <w:marTop w:val="0"/>
          <w:marBottom w:val="0"/>
          <w:divBdr>
            <w:top w:val="none" w:sz="0" w:space="0" w:color="auto"/>
            <w:left w:val="none" w:sz="0" w:space="0" w:color="auto"/>
            <w:bottom w:val="none" w:sz="0" w:space="0" w:color="auto"/>
            <w:right w:val="none" w:sz="0" w:space="0" w:color="auto"/>
          </w:divBdr>
        </w:div>
        <w:div w:id="1118723364">
          <w:marLeft w:val="0"/>
          <w:marRight w:val="0"/>
          <w:marTop w:val="0"/>
          <w:marBottom w:val="0"/>
          <w:divBdr>
            <w:top w:val="none" w:sz="0" w:space="0" w:color="auto"/>
            <w:left w:val="none" w:sz="0" w:space="0" w:color="auto"/>
            <w:bottom w:val="none" w:sz="0" w:space="0" w:color="auto"/>
            <w:right w:val="none" w:sz="0" w:space="0" w:color="auto"/>
          </w:divBdr>
        </w:div>
        <w:div w:id="1655721993">
          <w:marLeft w:val="0"/>
          <w:marRight w:val="0"/>
          <w:marTop w:val="0"/>
          <w:marBottom w:val="0"/>
          <w:divBdr>
            <w:top w:val="none" w:sz="0" w:space="0" w:color="auto"/>
            <w:left w:val="none" w:sz="0" w:space="0" w:color="auto"/>
            <w:bottom w:val="none" w:sz="0" w:space="0" w:color="auto"/>
            <w:right w:val="none" w:sz="0" w:space="0" w:color="auto"/>
          </w:divBdr>
        </w:div>
        <w:div w:id="2071225704">
          <w:marLeft w:val="0"/>
          <w:marRight w:val="0"/>
          <w:marTop w:val="0"/>
          <w:marBottom w:val="0"/>
          <w:divBdr>
            <w:top w:val="none" w:sz="0" w:space="0" w:color="auto"/>
            <w:left w:val="none" w:sz="0" w:space="0" w:color="auto"/>
            <w:bottom w:val="none" w:sz="0" w:space="0" w:color="auto"/>
            <w:right w:val="none" w:sz="0" w:space="0" w:color="auto"/>
          </w:divBdr>
        </w:div>
      </w:divsChild>
    </w:div>
    <w:div w:id="1575045675">
      <w:bodyDiv w:val="1"/>
      <w:marLeft w:val="0"/>
      <w:marRight w:val="0"/>
      <w:marTop w:val="0"/>
      <w:marBottom w:val="0"/>
      <w:divBdr>
        <w:top w:val="none" w:sz="0" w:space="0" w:color="auto"/>
        <w:left w:val="none" w:sz="0" w:space="0" w:color="auto"/>
        <w:bottom w:val="none" w:sz="0" w:space="0" w:color="auto"/>
        <w:right w:val="none" w:sz="0" w:space="0" w:color="auto"/>
      </w:divBdr>
      <w:divsChild>
        <w:div w:id="639842273">
          <w:marLeft w:val="0"/>
          <w:marRight w:val="0"/>
          <w:marTop w:val="0"/>
          <w:marBottom w:val="0"/>
          <w:divBdr>
            <w:top w:val="none" w:sz="0" w:space="0" w:color="auto"/>
            <w:left w:val="none" w:sz="0" w:space="0" w:color="auto"/>
            <w:bottom w:val="none" w:sz="0" w:space="0" w:color="auto"/>
            <w:right w:val="none" w:sz="0" w:space="0" w:color="auto"/>
          </w:divBdr>
        </w:div>
        <w:div w:id="1150437853">
          <w:marLeft w:val="0"/>
          <w:marRight w:val="0"/>
          <w:marTop w:val="0"/>
          <w:marBottom w:val="0"/>
          <w:divBdr>
            <w:top w:val="none" w:sz="0" w:space="0" w:color="auto"/>
            <w:left w:val="none" w:sz="0" w:space="0" w:color="auto"/>
            <w:bottom w:val="none" w:sz="0" w:space="0" w:color="auto"/>
            <w:right w:val="none" w:sz="0" w:space="0" w:color="auto"/>
          </w:divBdr>
        </w:div>
        <w:div w:id="1240288849">
          <w:marLeft w:val="0"/>
          <w:marRight w:val="0"/>
          <w:marTop w:val="0"/>
          <w:marBottom w:val="0"/>
          <w:divBdr>
            <w:top w:val="none" w:sz="0" w:space="0" w:color="auto"/>
            <w:left w:val="none" w:sz="0" w:space="0" w:color="auto"/>
            <w:bottom w:val="none" w:sz="0" w:space="0" w:color="auto"/>
            <w:right w:val="none" w:sz="0" w:space="0" w:color="auto"/>
          </w:divBdr>
        </w:div>
        <w:div w:id="303389938">
          <w:marLeft w:val="0"/>
          <w:marRight w:val="0"/>
          <w:marTop w:val="0"/>
          <w:marBottom w:val="0"/>
          <w:divBdr>
            <w:top w:val="none" w:sz="0" w:space="0" w:color="auto"/>
            <w:left w:val="none" w:sz="0" w:space="0" w:color="auto"/>
            <w:bottom w:val="none" w:sz="0" w:space="0" w:color="auto"/>
            <w:right w:val="none" w:sz="0" w:space="0" w:color="auto"/>
          </w:divBdr>
        </w:div>
        <w:div w:id="1145852089">
          <w:marLeft w:val="0"/>
          <w:marRight w:val="0"/>
          <w:marTop w:val="0"/>
          <w:marBottom w:val="0"/>
          <w:divBdr>
            <w:top w:val="none" w:sz="0" w:space="0" w:color="auto"/>
            <w:left w:val="none" w:sz="0" w:space="0" w:color="auto"/>
            <w:bottom w:val="none" w:sz="0" w:space="0" w:color="auto"/>
            <w:right w:val="none" w:sz="0" w:space="0" w:color="auto"/>
          </w:divBdr>
        </w:div>
        <w:div w:id="1864974953">
          <w:marLeft w:val="0"/>
          <w:marRight w:val="0"/>
          <w:marTop w:val="0"/>
          <w:marBottom w:val="0"/>
          <w:divBdr>
            <w:top w:val="none" w:sz="0" w:space="0" w:color="auto"/>
            <w:left w:val="none" w:sz="0" w:space="0" w:color="auto"/>
            <w:bottom w:val="none" w:sz="0" w:space="0" w:color="auto"/>
            <w:right w:val="none" w:sz="0" w:space="0" w:color="auto"/>
          </w:divBdr>
        </w:div>
        <w:div w:id="1184898026">
          <w:marLeft w:val="0"/>
          <w:marRight w:val="0"/>
          <w:marTop w:val="0"/>
          <w:marBottom w:val="0"/>
          <w:divBdr>
            <w:top w:val="none" w:sz="0" w:space="0" w:color="auto"/>
            <w:left w:val="none" w:sz="0" w:space="0" w:color="auto"/>
            <w:bottom w:val="none" w:sz="0" w:space="0" w:color="auto"/>
            <w:right w:val="none" w:sz="0" w:space="0" w:color="auto"/>
          </w:divBdr>
        </w:div>
        <w:div w:id="2092311608">
          <w:marLeft w:val="0"/>
          <w:marRight w:val="0"/>
          <w:marTop w:val="0"/>
          <w:marBottom w:val="0"/>
          <w:divBdr>
            <w:top w:val="none" w:sz="0" w:space="0" w:color="auto"/>
            <w:left w:val="none" w:sz="0" w:space="0" w:color="auto"/>
            <w:bottom w:val="none" w:sz="0" w:space="0" w:color="auto"/>
            <w:right w:val="none" w:sz="0" w:space="0" w:color="auto"/>
          </w:divBdr>
        </w:div>
        <w:div w:id="190268957">
          <w:marLeft w:val="0"/>
          <w:marRight w:val="0"/>
          <w:marTop w:val="0"/>
          <w:marBottom w:val="0"/>
          <w:divBdr>
            <w:top w:val="none" w:sz="0" w:space="0" w:color="auto"/>
            <w:left w:val="none" w:sz="0" w:space="0" w:color="auto"/>
            <w:bottom w:val="none" w:sz="0" w:space="0" w:color="auto"/>
            <w:right w:val="none" w:sz="0" w:space="0" w:color="auto"/>
          </w:divBdr>
        </w:div>
        <w:div w:id="1357198636">
          <w:marLeft w:val="0"/>
          <w:marRight w:val="0"/>
          <w:marTop w:val="0"/>
          <w:marBottom w:val="0"/>
          <w:divBdr>
            <w:top w:val="none" w:sz="0" w:space="0" w:color="auto"/>
            <w:left w:val="none" w:sz="0" w:space="0" w:color="auto"/>
            <w:bottom w:val="none" w:sz="0" w:space="0" w:color="auto"/>
            <w:right w:val="none" w:sz="0" w:space="0" w:color="auto"/>
          </w:divBdr>
        </w:div>
        <w:div w:id="1611745691">
          <w:marLeft w:val="0"/>
          <w:marRight w:val="0"/>
          <w:marTop w:val="0"/>
          <w:marBottom w:val="0"/>
          <w:divBdr>
            <w:top w:val="none" w:sz="0" w:space="0" w:color="auto"/>
            <w:left w:val="none" w:sz="0" w:space="0" w:color="auto"/>
            <w:bottom w:val="none" w:sz="0" w:space="0" w:color="auto"/>
            <w:right w:val="none" w:sz="0" w:space="0" w:color="auto"/>
          </w:divBdr>
        </w:div>
        <w:div w:id="1460881997">
          <w:marLeft w:val="0"/>
          <w:marRight w:val="0"/>
          <w:marTop w:val="0"/>
          <w:marBottom w:val="0"/>
          <w:divBdr>
            <w:top w:val="none" w:sz="0" w:space="0" w:color="auto"/>
            <w:left w:val="none" w:sz="0" w:space="0" w:color="auto"/>
            <w:bottom w:val="none" w:sz="0" w:space="0" w:color="auto"/>
            <w:right w:val="none" w:sz="0" w:space="0" w:color="auto"/>
          </w:divBdr>
        </w:div>
        <w:div w:id="281808996">
          <w:marLeft w:val="0"/>
          <w:marRight w:val="0"/>
          <w:marTop w:val="0"/>
          <w:marBottom w:val="0"/>
          <w:divBdr>
            <w:top w:val="none" w:sz="0" w:space="0" w:color="auto"/>
            <w:left w:val="none" w:sz="0" w:space="0" w:color="auto"/>
            <w:bottom w:val="none" w:sz="0" w:space="0" w:color="auto"/>
            <w:right w:val="none" w:sz="0" w:space="0" w:color="auto"/>
          </w:divBdr>
        </w:div>
        <w:div w:id="1610427941">
          <w:marLeft w:val="0"/>
          <w:marRight w:val="0"/>
          <w:marTop w:val="0"/>
          <w:marBottom w:val="0"/>
          <w:divBdr>
            <w:top w:val="none" w:sz="0" w:space="0" w:color="auto"/>
            <w:left w:val="none" w:sz="0" w:space="0" w:color="auto"/>
            <w:bottom w:val="none" w:sz="0" w:space="0" w:color="auto"/>
            <w:right w:val="none" w:sz="0" w:space="0" w:color="auto"/>
          </w:divBdr>
        </w:div>
        <w:div w:id="1376737382">
          <w:marLeft w:val="0"/>
          <w:marRight w:val="0"/>
          <w:marTop w:val="0"/>
          <w:marBottom w:val="0"/>
          <w:divBdr>
            <w:top w:val="none" w:sz="0" w:space="0" w:color="auto"/>
            <w:left w:val="none" w:sz="0" w:space="0" w:color="auto"/>
            <w:bottom w:val="none" w:sz="0" w:space="0" w:color="auto"/>
            <w:right w:val="none" w:sz="0" w:space="0" w:color="auto"/>
          </w:divBdr>
        </w:div>
        <w:div w:id="1810005185">
          <w:marLeft w:val="0"/>
          <w:marRight w:val="0"/>
          <w:marTop w:val="0"/>
          <w:marBottom w:val="0"/>
          <w:divBdr>
            <w:top w:val="none" w:sz="0" w:space="0" w:color="auto"/>
            <w:left w:val="none" w:sz="0" w:space="0" w:color="auto"/>
            <w:bottom w:val="none" w:sz="0" w:space="0" w:color="auto"/>
            <w:right w:val="none" w:sz="0" w:space="0" w:color="auto"/>
          </w:divBdr>
        </w:div>
        <w:div w:id="592472421">
          <w:marLeft w:val="0"/>
          <w:marRight w:val="0"/>
          <w:marTop w:val="0"/>
          <w:marBottom w:val="0"/>
          <w:divBdr>
            <w:top w:val="none" w:sz="0" w:space="0" w:color="auto"/>
            <w:left w:val="none" w:sz="0" w:space="0" w:color="auto"/>
            <w:bottom w:val="none" w:sz="0" w:space="0" w:color="auto"/>
            <w:right w:val="none" w:sz="0" w:space="0" w:color="auto"/>
          </w:divBdr>
        </w:div>
        <w:div w:id="2085184262">
          <w:marLeft w:val="0"/>
          <w:marRight w:val="0"/>
          <w:marTop w:val="0"/>
          <w:marBottom w:val="0"/>
          <w:divBdr>
            <w:top w:val="none" w:sz="0" w:space="0" w:color="auto"/>
            <w:left w:val="none" w:sz="0" w:space="0" w:color="auto"/>
            <w:bottom w:val="none" w:sz="0" w:space="0" w:color="auto"/>
            <w:right w:val="none" w:sz="0" w:space="0" w:color="auto"/>
          </w:divBdr>
        </w:div>
        <w:div w:id="229855280">
          <w:marLeft w:val="0"/>
          <w:marRight w:val="0"/>
          <w:marTop w:val="0"/>
          <w:marBottom w:val="0"/>
          <w:divBdr>
            <w:top w:val="none" w:sz="0" w:space="0" w:color="auto"/>
            <w:left w:val="none" w:sz="0" w:space="0" w:color="auto"/>
            <w:bottom w:val="none" w:sz="0" w:space="0" w:color="auto"/>
            <w:right w:val="none" w:sz="0" w:space="0" w:color="auto"/>
          </w:divBdr>
        </w:div>
        <w:div w:id="1514997120">
          <w:marLeft w:val="0"/>
          <w:marRight w:val="0"/>
          <w:marTop w:val="0"/>
          <w:marBottom w:val="0"/>
          <w:divBdr>
            <w:top w:val="none" w:sz="0" w:space="0" w:color="auto"/>
            <w:left w:val="none" w:sz="0" w:space="0" w:color="auto"/>
            <w:bottom w:val="none" w:sz="0" w:space="0" w:color="auto"/>
            <w:right w:val="none" w:sz="0" w:space="0" w:color="auto"/>
          </w:divBdr>
        </w:div>
        <w:div w:id="2000376150">
          <w:marLeft w:val="0"/>
          <w:marRight w:val="0"/>
          <w:marTop w:val="0"/>
          <w:marBottom w:val="0"/>
          <w:divBdr>
            <w:top w:val="none" w:sz="0" w:space="0" w:color="auto"/>
            <w:left w:val="none" w:sz="0" w:space="0" w:color="auto"/>
            <w:bottom w:val="none" w:sz="0" w:space="0" w:color="auto"/>
            <w:right w:val="none" w:sz="0" w:space="0" w:color="auto"/>
          </w:divBdr>
        </w:div>
        <w:div w:id="1928419982">
          <w:marLeft w:val="0"/>
          <w:marRight w:val="0"/>
          <w:marTop w:val="0"/>
          <w:marBottom w:val="0"/>
          <w:divBdr>
            <w:top w:val="none" w:sz="0" w:space="0" w:color="auto"/>
            <w:left w:val="none" w:sz="0" w:space="0" w:color="auto"/>
            <w:bottom w:val="none" w:sz="0" w:space="0" w:color="auto"/>
            <w:right w:val="none" w:sz="0" w:space="0" w:color="auto"/>
          </w:divBdr>
        </w:div>
        <w:div w:id="408425198">
          <w:marLeft w:val="0"/>
          <w:marRight w:val="0"/>
          <w:marTop w:val="0"/>
          <w:marBottom w:val="0"/>
          <w:divBdr>
            <w:top w:val="none" w:sz="0" w:space="0" w:color="auto"/>
            <w:left w:val="none" w:sz="0" w:space="0" w:color="auto"/>
            <w:bottom w:val="none" w:sz="0" w:space="0" w:color="auto"/>
            <w:right w:val="none" w:sz="0" w:space="0" w:color="auto"/>
          </w:divBdr>
        </w:div>
        <w:div w:id="1287277496">
          <w:marLeft w:val="0"/>
          <w:marRight w:val="0"/>
          <w:marTop w:val="0"/>
          <w:marBottom w:val="0"/>
          <w:divBdr>
            <w:top w:val="none" w:sz="0" w:space="0" w:color="auto"/>
            <w:left w:val="none" w:sz="0" w:space="0" w:color="auto"/>
            <w:bottom w:val="none" w:sz="0" w:space="0" w:color="auto"/>
            <w:right w:val="none" w:sz="0" w:space="0" w:color="auto"/>
          </w:divBdr>
        </w:div>
      </w:divsChild>
    </w:div>
    <w:div w:id="1714764879">
      <w:bodyDiv w:val="1"/>
      <w:marLeft w:val="0"/>
      <w:marRight w:val="0"/>
      <w:marTop w:val="0"/>
      <w:marBottom w:val="0"/>
      <w:divBdr>
        <w:top w:val="none" w:sz="0" w:space="0" w:color="auto"/>
        <w:left w:val="none" w:sz="0" w:space="0" w:color="auto"/>
        <w:bottom w:val="none" w:sz="0" w:space="0" w:color="auto"/>
        <w:right w:val="none" w:sz="0" w:space="0" w:color="auto"/>
      </w:divBdr>
      <w:divsChild>
        <w:div w:id="1443457537">
          <w:marLeft w:val="0"/>
          <w:marRight w:val="0"/>
          <w:marTop w:val="0"/>
          <w:marBottom w:val="0"/>
          <w:divBdr>
            <w:top w:val="none" w:sz="0" w:space="0" w:color="auto"/>
            <w:left w:val="none" w:sz="0" w:space="0" w:color="auto"/>
            <w:bottom w:val="none" w:sz="0" w:space="0" w:color="auto"/>
            <w:right w:val="none" w:sz="0" w:space="0" w:color="auto"/>
          </w:divBdr>
          <w:divsChild>
            <w:div w:id="1099255882">
              <w:marLeft w:val="0"/>
              <w:marRight w:val="0"/>
              <w:marTop w:val="0"/>
              <w:marBottom w:val="0"/>
              <w:divBdr>
                <w:top w:val="none" w:sz="0" w:space="0" w:color="auto"/>
                <w:left w:val="none" w:sz="0" w:space="0" w:color="auto"/>
                <w:bottom w:val="none" w:sz="0" w:space="0" w:color="auto"/>
                <w:right w:val="none" w:sz="0" w:space="0" w:color="auto"/>
              </w:divBdr>
            </w:div>
          </w:divsChild>
        </w:div>
        <w:div w:id="1379234668">
          <w:marLeft w:val="0"/>
          <w:marRight w:val="0"/>
          <w:marTop w:val="0"/>
          <w:marBottom w:val="0"/>
          <w:divBdr>
            <w:top w:val="none" w:sz="0" w:space="0" w:color="auto"/>
            <w:left w:val="none" w:sz="0" w:space="0" w:color="auto"/>
            <w:bottom w:val="none" w:sz="0" w:space="0" w:color="auto"/>
            <w:right w:val="none" w:sz="0" w:space="0" w:color="auto"/>
          </w:divBdr>
        </w:div>
        <w:div w:id="263345948">
          <w:marLeft w:val="0"/>
          <w:marRight w:val="0"/>
          <w:marTop w:val="0"/>
          <w:marBottom w:val="0"/>
          <w:divBdr>
            <w:top w:val="none" w:sz="0" w:space="0" w:color="auto"/>
            <w:left w:val="none" w:sz="0" w:space="0" w:color="auto"/>
            <w:bottom w:val="none" w:sz="0" w:space="0" w:color="auto"/>
            <w:right w:val="none" w:sz="0" w:space="0" w:color="auto"/>
          </w:divBdr>
        </w:div>
        <w:div w:id="2112584146">
          <w:marLeft w:val="0"/>
          <w:marRight w:val="0"/>
          <w:marTop w:val="0"/>
          <w:marBottom w:val="0"/>
          <w:divBdr>
            <w:top w:val="none" w:sz="0" w:space="0" w:color="auto"/>
            <w:left w:val="none" w:sz="0" w:space="0" w:color="auto"/>
            <w:bottom w:val="none" w:sz="0" w:space="0" w:color="auto"/>
            <w:right w:val="none" w:sz="0" w:space="0" w:color="auto"/>
          </w:divBdr>
        </w:div>
        <w:div w:id="463277009">
          <w:marLeft w:val="0"/>
          <w:marRight w:val="0"/>
          <w:marTop w:val="0"/>
          <w:marBottom w:val="0"/>
          <w:divBdr>
            <w:top w:val="none" w:sz="0" w:space="0" w:color="auto"/>
            <w:left w:val="none" w:sz="0" w:space="0" w:color="auto"/>
            <w:bottom w:val="none" w:sz="0" w:space="0" w:color="auto"/>
            <w:right w:val="none" w:sz="0" w:space="0" w:color="auto"/>
          </w:divBdr>
        </w:div>
      </w:divsChild>
    </w:div>
    <w:div w:id="1735621781">
      <w:bodyDiv w:val="1"/>
      <w:marLeft w:val="0"/>
      <w:marRight w:val="0"/>
      <w:marTop w:val="0"/>
      <w:marBottom w:val="0"/>
      <w:divBdr>
        <w:top w:val="none" w:sz="0" w:space="0" w:color="auto"/>
        <w:left w:val="none" w:sz="0" w:space="0" w:color="auto"/>
        <w:bottom w:val="none" w:sz="0" w:space="0" w:color="auto"/>
        <w:right w:val="none" w:sz="0" w:space="0" w:color="auto"/>
      </w:divBdr>
      <w:divsChild>
        <w:div w:id="1606771655">
          <w:marLeft w:val="0"/>
          <w:marRight w:val="0"/>
          <w:marTop w:val="0"/>
          <w:marBottom w:val="0"/>
          <w:divBdr>
            <w:top w:val="none" w:sz="0" w:space="0" w:color="auto"/>
            <w:left w:val="none" w:sz="0" w:space="0" w:color="auto"/>
            <w:bottom w:val="none" w:sz="0" w:space="0" w:color="auto"/>
            <w:right w:val="none" w:sz="0" w:space="0" w:color="auto"/>
          </w:divBdr>
        </w:div>
        <w:div w:id="1642153103">
          <w:marLeft w:val="0"/>
          <w:marRight w:val="0"/>
          <w:marTop w:val="0"/>
          <w:marBottom w:val="0"/>
          <w:divBdr>
            <w:top w:val="none" w:sz="0" w:space="0" w:color="auto"/>
            <w:left w:val="none" w:sz="0" w:space="0" w:color="auto"/>
            <w:bottom w:val="none" w:sz="0" w:space="0" w:color="auto"/>
            <w:right w:val="none" w:sz="0" w:space="0" w:color="auto"/>
          </w:divBdr>
        </w:div>
        <w:div w:id="760682839">
          <w:marLeft w:val="0"/>
          <w:marRight w:val="0"/>
          <w:marTop w:val="0"/>
          <w:marBottom w:val="0"/>
          <w:divBdr>
            <w:top w:val="none" w:sz="0" w:space="0" w:color="auto"/>
            <w:left w:val="none" w:sz="0" w:space="0" w:color="auto"/>
            <w:bottom w:val="none" w:sz="0" w:space="0" w:color="auto"/>
            <w:right w:val="none" w:sz="0" w:space="0" w:color="auto"/>
          </w:divBdr>
        </w:div>
        <w:div w:id="891699245">
          <w:marLeft w:val="0"/>
          <w:marRight w:val="0"/>
          <w:marTop w:val="0"/>
          <w:marBottom w:val="0"/>
          <w:divBdr>
            <w:top w:val="none" w:sz="0" w:space="0" w:color="auto"/>
            <w:left w:val="none" w:sz="0" w:space="0" w:color="auto"/>
            <w:bottom w:val="none" w:sz="0" w:space="0" w:color="auto"/>
            <w:right w:val="none" w:sz="0" w:space="0" w:color="auto"/>
          </w:divBdr>
        </w:div>
        <w:div w:id="360133515">
          <w:marLeft w:val="0"/>
          <w:marRight w:val="0"/>
          <w:marTop w:val="0"/>
          <w:marBottom w:val="0"/>
          <w:divBdr>
            <w:top w:val="none" w:sz="0" w:space="0" w:color="auto"/>
            <w:left w:val="none" w:sz="0" w:space="0" w:color="auto"/>
            <w:bottom w:val="none" w:sz="0" w:space="0" w:color="auto"/>
            <w:right w:val="none" w:sz="0" w:space="0" w:color="auto"/>
          </w:divBdr>
        </w:div>
        <w:div w:id="1762724637">
          <w:marLeft w:val="0"/>
          <w:marRight w:val="0"/>
          <w:marTop w:val="0"/>
          <w:marBottom w:val="0"/>
          <w:divBdr>
            <w:top w:val="none" w:sz="0" w:space="0" w:color="auto"/>
            <w:left w:val="none" w:sz="0" w:space="0" w:color="auto"/>
            <w:bottom w:val="none" w:sz="0" w:space="0" w:color="auto"/>
            <w:right w:val="none" w:sz="0" w:space="0" w:color="auto"/>
          </w:divBdr>
        </w:div>
        <w:div w:id="1564179142">
          <w:marLeft w:val="0"/>
          <w:marRight w:val="0"/>
          <w:marTop w:val="0"/>
          <w:marBottom w:val="0"/>
          <w:divBdr>
            <w:top w:val="none" w:sz="0" w:space="0" w:color="auto"/>
            <w:left w:val="none" w:sz="0" w:space="0" w:color="auto"/>
            <w:bottom w:val="none" w:sz="0" w:space="0" w:color="auto"/>
            <w:right w:val="none" w:sz="0" w:space="0" w:color="auto"/>
          </w:divBdr>
        </w:div>
        <w:div w:id="922185506">
          <w:marLeft w:val="0"/>
          <w:marRight w:val="0"/>
          <w:marTop w:val="0"/>
          <w:marBottom w:val="0"/>
          <w:divBdr>
            <w:top w:val="none" w:sz="0" w:space="0" w:color="auto"/>
            <w:left w:val="none" w:sz="0" w:space="0" w:color="auto"/>
            <w:bottom w:val="none" w:sz="0" w:space="0" w:color="auto"/>
            <w:right w:val="none" w:sz="0" w:space="0" w:color="auto"/>
          </w:divBdr>
        </w:div>
        <w:div w:id="337654026">
          <w:marLeft w:val="0"/>
          <w:marRight w:val="0"/>
          <w:marTop w:val="0"/>
          <w:marBottom w:val="0"/>
          <w:divBdr>
            <w:top w:val="none" w:sz="0" w:space="0" w:color="auto"/>
            <w:left w:val="none" w:sz="0" w:space="0" w:color="auto"/>
            <w:bottom w:val="none" w:sz="0" w:space="0" w:color="auto"/>
            <w:right w:val="none" w:sz="0" w:space="0" w:color="auto"/>
          </w:divBdr>
        </w:div>
        <w:div w:id="1597905975">
          <w:marLeft w:val="0"/>
          <w:marRight w:val="0"/>
          <w:marTop w:val="0"/>
          <w:marBottom w:val="0"/>
          <w:divBdr>
            <w:top w:val="none" w:sz="0" w:space="0" w:color="auto"/>
            <w:left w:val="none" w:sz="0" w:space="0" w:color="auto"/>
            <w:bottom w:val="none" w:sz="0" w:space="0" w:color="auto"/>
            <w:right w:val="none" w:sz="0" w:space="0" w:color="auto"/>
          </w:divBdr>
        </w:div>
        <w:div w:id="2096970208">
          <w:marLeft w:val="0"/>
          <w:marRight w:val="0"/>
          <w:marTop w:val="0"/>
          <w:marBottom w:val="0"/>
          <w:divBdr>
            <w:top w:val="none" w:sz="0" w:space="0" w:color="auto"/>
            <w:left w:val="none" w:sz="0" w:space="0" w:color="auto"/>
            <w:bottom w:val="none" w:sz="0" w:space="0" w:color="auto"/>
            <w:right w:val="none" w:sz="0" w:space="0" w:color="auto"/>
          </w:divBdr>
        </w:div>
        <w:div w:id="1616132937">
          <w:marLeft w:val="0"/>
          <w:marRight w:val="0"/>
          <w:marTop w:val="0"/>
          <w:marBottom w:val="0"/>
          <w:divBdr>
            <w:top w:val="none" w:sz="0" w:space="0" w:color="auto"/>
            <w:left w:val="none" w:sz="0" w:space="0" w:color="auto"/>
            <w:bottom w:val="none" w:sz="0" w:space="0" w:color="auto"/>
            <w:right w:val="none" w:sz="0" w:space="0" w:color="auto"/>
          </w:divBdr>
        </w:div>
        <w:div w:id="1889411314">
          <w:marLeft w:val="0"/>
          <w:marRight w:val="0"/>
          <w:marTop w:val="0"/>
          <w:marBottom w:val="0"/>
          <w:divBdr>
            <w:top w:val="none" w:sz="0" w:space="0" w:color="auto"/>
            <w:left w:val="none" w:sz="0" w:space="0" w:color="auto"/>
            <w:bottom w:val="none" w:sz="0" w:space="0" w:color="auto"/>
            <w:right w:val="none" w:sz="0" w:space="0" w:color="auto"/>
          </w:divBdr>
        </w:div>
        <w:div w:id="1729113066">
          <w:marLeft w:val="0"/>
          <w:marRight w:val="0"/>
          <w:marTop w:val="0"/>
          <w:marBottom w:val="0"/>
          <w:divBdr>
            <w:top w:val="none" w:sz="0" w:space="0" w:color="auto"/>
            <w:left w:val="none" w:sz="0" w:space="0" w:color="auto"/>
            <w:bottom w:val="none" w:sz="0" w:space="0" w:color="auto"/>
            <w:right w:val="none" w:sz="0" w:space="0" w:color="auto"/>
          </w:divBdr>
        </w:div>
        <w:div w:id="999582019">
          <w:marLeft w:val="0"/>
          <w:marRight w:val="0"/>
          <w:marTop w:val="0"/>
          <w:marBottom w:val="0"/>
          <w:divBdr>
            <w:top w:val="none" w:sz="0" w:space="0" w:color="auto"/>
            <w:left w:val="none" w:sz="0" w:space="0" w:color="auto"/>
            <w:bottom w:val="none" w:sz="0" w:space="0" w:color="auto"/>
            <w:right w:val="none" w:sz="0" w:space="0" w:color="auto"/>
          </w:divBdr>
        </w:div>
      </w:divsChild>
    </w:div>
    <w:div w:id="1970622554">
      <w:bodyDiv w:val="1"/>
      <w:marLeft w:val="0"/>
      <w:marRight w:val="0"/>
      <w:marTop w:val="0"/>
      <w:marBottom w:val="0"/>
      <w:divBdr>
        <w:top w:val="none" w:sz="0" w:space="0" w:color="auto"/>
        <w:left w:val="none" w:sz="0" w:space="0" w:color="auto"/>
        <w:bottom w:val="none" w:sz="0" w:space="0" w:color="auto"/>
        <w:right w:val="none" w:sz="0" w:space="0" w:color="auto"/>
      </w:divBdr>
      <w:divsChild>
        <w:div w:id="648746351">
          <w:marLeft w:val="0"/>
          <w:marRight w:val="0"/>
          <w:marTop w:val="0"/>
          <w:marBottom w:val="0"/>
          <w:divBdr>
            <w:top w:val="none" w:sz="0" w:space="0" w:color="auto"/>
            <w:left w:val="none" w:sz="0" w:space="0" w:color="auto"/>
            <w:bottom w:val="none" w:sz="0" w:space="0" w:color="auto"/>
            <w:right w:val="none" w:sz="0" w:space="0" w:color="auto"/>
          </w:divBdr>
        </w:div>
        <w:div w:id="1231649326">
          <w:marLeft w:val="0"/>
          <w:marRight w:val="0"/>
          <w:marTop w:val="0"/>
          <w:marBottom w:val="0"/>
          <w:divBdr>
            <w:top w:val="none" w:sz="0" w:space="0" w:color="auto"/>
            <w:left w:val="none" w:sz="0" w:space="0" w:color="auto"/>
            <w:bottom w:val="none" w:sz="0" w:space="0" w:color="auto"/>
            <w:right w:val="none" w:sz="0" w:space="0" w:color="auto"/>
          </w:divBdr>
        </w:div>
      </w:divsChild>
    </w:div>
    <w:div w:id="2073386512">
      <w:bodyDiv w:val="1"/>
      <w:marLeft w:val="0"/>
      <w:marRight w:val="0"/>
      <w:marTop w:val="0"/>
      <w:marBottom w:val="0"/>
      <w:divBdr>
        <w:top w:val="none" w:sz="0" w:space="0" w:color="auto"/>
        <w:left w:val="none" w:sz="0" w:space="0" w:color="auto"/>
        <w:bottom w:val="none" w:sz="0" w:space="0" w:color="auto"/>
        <w:right w:val="none" w:sz="0" w:space="0" w:color="auto"/>
      </w:divBdr>
      <w:divsChild>
        <w:div w:id="376244177">
          <w:marLeft w:val="0"/>
          <w:marRight w:val="0"/>
          <w:marTop w:val="0"/>
          <w:marBottom w:val="0"/>
          <w:divBdr>
            <w:top w:val="none" w:sz="0" w:space="0" w:color="auto"/>
            <w:left w:val="none" w:sz="0" w:space="0" w:color="auto"/>
            <w:bottom w:val="none" w:sz="0" w:space="0" w:color="auto"/>
            <w:right w:val="none" w:sz="0" w:space="0" w:color="auto"/>
          </w:divBdr>
          <w:divsChild>
            <w:div w:id="1316884602">
              <w:marLeft w:val="0"/>
              <w:marRight w:val="0"/>
              <w:marTop w:val="0"/>
              <w:marBottom w:val="0"/>
              <w:divBdr>
                <w:top w:val="none" w:sz="0" w:space="0" w:color="auto"/>
                <w:left w:val="none" w:sz="0" w:space="0" w:color="auto"/>
                <w:bottom w:val="none" w:sz="0" w:space="0" w:color="auto"/>
                <w:right w:val="none" w:sz="0" w:space="0" w:color="auto"/>
              </w:divBdr>
            </w:div>
          </w:divsChild>
        </w:div>
        <w:div w:id="1598322064">
          <w:marLeft w:val="0"/>
          <w:marRight w:val="0"/>
          <w:marTop w:val="0"/>
          <w:marBottom w:val="0"/>
          <w:divBdr>
            <w:top w:val="none" w:sz="0" w:space="0" w:color="auto"/>
            <w:left w:val="none" w:sz="0" w:space="0" w:color="auto"/>
            <w:bottom w:val="none" w:sz="0" w:space="0" w:color="auto"/>
            <w:right w:val="none" w:sz="0" w:space="0" w:color="auto"/>
          </w:divBdr>
        </w:div>
        <w:div w:id="1141649919">
          <w:marLeft w:val="0"/>
          <w:marRight w:val="0"/>
          <w:marTop w:val="0"/>
          <w:marBottom w:val="0"/>
          <w:divBdr>
            <w:top w:val="none" w:sz="0" w:space="0" w:color="auto"/>
            <w:left w:val="none" w:sz="0" w:space="0" w:color="auto"/>
            <w:bottom w:val="none" w:sz="0" w:space="0" w:color="auto"/>
            <w:right w:val="none" w:sz="0" w:space="0" w:color="auto"/>
          </w:divBdr>
        </w:div>
        <w:div w:id="551236937">
          <w:marLeft w:val="0"/>
          <w:marRight w:val="0"/>
          <w:marTop w:val="0"/>
          <w:marBottom w:val="0"/>
          <w:divBdr>
            <w:top w:val="none" w:sz="0" w:space="0" w:color="auto"/>
            <w:left w:val="none" w:sz="0" w:space="0" w:color="auto"/>
            <w:bottom w:val="none" w:sz="0" w:space="0" w:color="auto"/>
            <w:right w:val="none" w:sz="0" w:space="0" w:color="auto"/>
          </w:divBdr>
        </w:div>
        <w:div w:id="1111127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Pages>
  <Words>4117</Words>
  <Characters>23472</Characters>
  <Application>Microsoft Office Word</Application>
  <DocSecurity>0</DocSecurity>
  <Lines>195</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cp:lastPrinted>2013-03-12T08:35:00Z</cp:lastPrinted>
  <dcterms:created xsi:type="dcterms:W3CDTF">2013-03-11T18:47:00Z</dcterms:created>
  <dcterms:modified xsi:type="dcterms:W3CDTF">2013-03-12T10:49:00Z</dcterms:modified>
</cp:coreProperties>
</file>