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A5" w:rsidRPr="003C71BB" w:rsidRDefault="003C71BB">
      <w:pPr>
        <w:rPr>
          <w:sz w:val="40"/>
          <w:szCs w:val="40"/>
        </w:rPr>
      </w:pPr>
      <w:r w:rsidRPr="003C71BB">
        <w:rPr>
          <w:sz w:val="40"/>
          <w:szCs w:val="40"/>
        </w:rPr>
        <w:t>Banks and Capital Markets in The US: 1863-1929</w:t>
      </w:r>
    </w:p>
    <w:p w:rsidR="003C71BB" w:rsidRDefault="003C71BB"/>
    <w:p w:rsidR="003C71BB" w:rsidRDefault="003C71BB">
      <w:r>
        <w:t xml:space="preserve">Fabio </w:t>
      </w:r>
      <w:proofErr w:type="spellStart"/>
      <w:r>
        <w:t>Braggion</w:t>
      </w:r>
      <w:bookmarkStart w:id="0" w:name="_GoBack"/>
      <w:bookmarkEnd w:id="0"/>
      <w:proofErr w:type="spellEnd"/>
      <w:r>
        <w:br/>
        <w:t>Associate Professor of Finance</w:t>
      </w:r>
      <w:r>
        <w:br/>
        <w:t xml:space="preserve">EBC, </w:t>
      </w:r>
      <w:proofErr w:type="spellStart"/>
      <w:r>
        <w:t>CentER</w:t>
      </w:r>
      <w:proofErr w:type="spellEnd"/>
      <w:r>
        <w:t>&amp; Tilburg University</w:t>
      </w:r>
      <w:r>
        <w:br/>
      </w:r>
      <w:hyperlink r:id="rId5" w:tgtFrame="_blank" w:history="1">
        <w:r>
          <w:rPr>
            <w:rStyle w:val="Collegamentoipertestuale"/>
          </w:rPr>
          <w:t>http://www.tilburguniversity.edu/webwijs/show/&amp;uid=f.braggion?uid=f.braggion</w:t>
        </w:r>
      </w:hyperlink>
    </w:p>
    <w:p w:rsidR="003C71BB" w:rsidRDefault="003C71BB"/>
    <w:p w:rsidR="003C71BB" w:rsidRPr="003C71BB" w:rsidRDefault="003C71BB" w:rsidP="003C71BB">
      <w:pPr>
        <w:pStyle w:val="yiv180902647msonormal"/>
        <w:jc w:val="both"/>
        <w:rPr>
          <w:b/>
        </w:rPr>
      </w:pPr>
      <w:r w:rsidRPr="003C71BB">
        <w:rPr>
          <w:b/>
        </w:rPr>
        <w:t>B</w:t>
      </w:r>
      <w:r w:rsidRPr="003C71BB">
        <w:rPr>
          <w:b/>
        </w:rPr>
        <w:t xml:space="preserve">ackground readings </w:t>
      </w:r>
      <w:r w:rsidRPr="003C71BB">
        <w:rPr>
          <w:b/>
        </w:rPr>
        <w:t>for the lesson</w:t>
      </w:r>
      <w:r w:rsidRPr="003C71BB">
        <w:rPr>
          <w:b/>
        </w:rPr>
        <w:t>.</w:t>
      </w:r>
    </w:p>
    <w:p w:rsidR="003C71BB" w:rsidRDefault="003C71BB" w:rsidP="003C71BB">
      <w:pPr>
        <w:pStyle w:val="yiv180902647msonormal"/>
        <w:jc w:val="both"/>
      </w:pPr>
      <w:r>
        <w:t>Bernanke, Ben S., 1983, “Nonmonetary Effects of the Financial Crisis in the Propagation of the Great Depression”, American Economic Review, Vol. , pp. 257-276.</w:t>
      </w:r>
    </w:p>
    <w:p w:rsidR="003C71BB" w:rsidRDefault="003C71BB" w:rsidP="003C71BB">
      <w:pPr>
        <w:pStyle w:val="yiv180902647msonormal"/>
        <w:jc w:val="both"/>
      </w:pPr>
      <w:proofErr w:type="spellStart"/>
      <w:r>
        <w:t>Calomiris</w:t>
      </w:r>
      <w:proofErr w:type="spellEnd"/>
      <w:r>
        <w:t xml:space="preserve">, Charles W., 1993, “Financial Factors in the Great Depression”, Journal of Economic Perspective, Vol. 7, pp. 61-85. </w:t>
      </w:r>
    </w:p>
    <w:p w:rsidR="003C71BB" w:rsidRDefault="003C71BB" w:rsidP="003C71BB">
      <w:pPr>
        <w:pStyle w:val="yiv180902647msonormal"/>
        <w:jc w:val="both"/>
      </w:pPr>
      <w:r>
        <w:t xml:space="preserve"> </w:t>
      </w:r>
      <w:proofErr w:type="spellStart"/>
      <w:r>
        <w:t>Kroszner</w:t>
      </w:r>
      <w:proofErr w:type="spellEnd"/>
      <w:r>
        <w:t xml:space="preserve">, Randall S. and </w:t>
      </w:r>
      <w:proofErr w:type="spellStart"/>
      <w:r>
        <w:t>Raghuram</w:t>
      </w:r>
      <w:proofErr w:type="spellEnd"/>
      <w:r>
        <w:t xml:space="preserve"> G. </w:t>
      </w:r>
      <w:proofErr w:type="spellStart"/>
      <w:r>
        <w:t>Rajan</w:t>
      </w:r>
      <w:proofErr w:type="spellEnd"/>
      <w:r>
        <w:t>, 1994, “Is the Glass-</w:t>
      </w:r>
      <w:proofErr w:type="spellStart"/>
      <w:r>
        <w:t>Steagall</w:t>
      </w:r>
      <w:proofErr w:type="spellEnd"/>
      <w:r>
        <w:t xml:space="preserve"> Act Justified? A Study of the U.S. Experience with Universal Banking Before 1933” The American Economic Review. Vol. 84, pp. 810-832</w:t>
      </w:r>
    </w:p>
    <w:p w:rsidR="003C71BB" w:rsidRDefault="003C71BB" w:rsidP="003C71BB">
      <w:pPr>
        <w:pStyle w:val="yiv180902647msonormal"/>
        <w:jc w:val="both"/>
      </w:pPr>
      <w:r>
        <w:t xml:space="preserve">Reinhart Carmen, and Kenneth </w:t>
      </w:r>
      <w:proofErr w:type="spellStart"/>
      <w:r>
        <w:t>Rogoff</w:t>
      </w:r>
      <w:proofErr w:type="spellEnd"/>
      <w:r>
        <w:t xml:space="preserve"> , 2008, “This Time is Different: A Panoramic View of Eight Centuries of Financial Crises”, Working Paper.</w:t>
      </w:r>
    </w:p>
    <w:p w:rsidR="003C71BB" w:rsidRDefault="003C71BB" w:rsidP="003C71BB">
      <w:pPr>
        <w:pStyle w:val="yiv180902647msonormal"/>
      </w:pPr>
      <w:proofErr w:type="spellStart"/>
      <w:r>
        <w:t>Scularick</w:t>
      </w:r>
      <w:proofErr w:type="spellEnd"/>
      <w:r>
        <w:t xml:space="preserve">, Moritz and Alan M. Taylor, 2011, “Credit Booms Gone Bust: Monetary Policy, Leverage Cycles and Financial Crises, 1870-2008”, </w:t>
      </w:r>
      <w:r>
        <w:rPr>
          <w:i/>
          <w:iCs/>
        </w:rPr>
        <w:t>American Economic Review</w:t>
      </w:r>
      <w:r>
        <w:t>, Forthcoming.</w:t>
      </w:r>
    </w:p>
    <w:p w:rsidR="003C71BB" w:rsidRDefault="003C71BB"/>
    <w:sectPr w:rsidR="003C71BB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BB"/>
    <w:rsid w:val="00006BDA"/>
    <w:rsid w:val="000B1EEC"/>
    <w:rsid w:val="000E41C2"/>
    <w:rsid w:val="0011522F"/>
    <w:rsid w:val="00143CCB"/>
    <w:rsid w:val="001D6AF9"/>
    <w:rsid w:val="001E1240"/>
    <w:rsid w:val="00221791"/>
    <w:rsid w:val="00255B30"/>
    <w:rsid w:val="002617BE"/>
    <w:rsid w:val="00276ADF"/>
    <w:rsid w:val="002A1CFB"/>
    <w:rsid w:val="002A2789"/>
    <w:rsid w:val="002B0995"/>
    <w:rsid w:val="002E3377"/>
    <w:rsid w:val="002E4B2B"/>
    <w:rsid w:val="002F3C4E"/>
    <w:rsid w:val="003624D5"/>
    <w:rsid w:val="00394E01"/>
    <w:rsid w:val="003C71BB"/>
    <w:rsid w:val="003D685D"/>
    <w:rsid w:val="00407ED2"/>
    <w:rsid w:val="00430BFD"/>
    <w:rsid w:val="00431896"/>
    <w:rsid w:val="0043766D"/>
    <w:rsid w:val="0048000A"/>
    <w:rsid w:val="00485690"/>
    <w:rsid w:val="004867FB"/>
    <w:rsid w:val="00525987"/>
    <w:rsid w:val="00527F94"/>
    <w:rsid w:val="00545870"/>
    <w:rsid w:val="00551C74"/>
    <w:rsid w:val="00570E91"/>
    <w:rsid w:val="006D64E2"/>
    <w:rsid w:val="006E7E13"/>
    <w:rsid w:val="006F6E83"/>
    <w:rsid w:val="00761A1E"/>
    <w:rsid w:val="007677E1"/>
    <w:rsid w:val="007E3688"/>
    <w:rsid w:val="007F0EEA"/>
    <w:rsid w:val="008343D1"/>
    <w:rsid w:val="008453C2"/>
    <w:rsid w:val="008B7993"/>
    <w:rsid w:val="008F73F7"/>
    <w:rsid w:val="009A0330"/>
    <w:rsid w:val="009C4802"/>
    <w:rsid w:val="009D70E1"/>
    <w:rsid w:val="00A15377"/>
    <w:rsid w:val="00A470D6"/>
    <w:rsid w:val="00A51DCC"/>
    <w:rsid w:val="00AC22F8"/>
    <w:rsid w:val="00AD3240"/>
    <w:rsid w:val="00B12A5E"/>
    <w:rsid w:val="00BB10A5"/>
    <w:rsid w:val="00BC4F2E"/>
    <w:rsid w:val="00C32FD5"/>
    <w:rsid w:val="00C4747E"/>
    <w:rsid w:val="00C523D3"/>
    <w:rsid w:val="00C66645"/>
    <w:rsid w:val="00C7789F"/>
    <w:rsid w:val="00C812E6"/>
    <w:rsid w:val="00D01A1D"/>
    <w:rsid w:val="00D57C5B"/>
    <w:rsid w:val="00D61461"/>
    <w:rsid w:val="00DD5A67"/>
    <w:rsid w:val="00E0038E"/>
    <w:rsid w:val="00E62F77"/>
    <w:rsid w:val="00E70D9D"/>
    <w:rsid w:val="00EB2598"/>
    <w:rsid w:val="00F3739D"/>
    <w:rsid w:val="00FB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C71BB"/>
    <w:rPr>
      <w:color w:val="0000FF"/>
      <w:u w:val="single"/>
    </w:rPr>
  </w:style>
  <w:style w:type="paragraph" w:customStyle="1" w:styleId="yiv180902647msonormal">
    <w:name w:val="yiv180902647msonormal"/>
    <w:basedOn w:val="Normale"/>
    <w:rsid w:val="003C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C71BB"/>
    <w:rPr>
      <w:color w:val="0000FF"/>
      <w:u w:val="single"/>
    </w:rPr>
  </w:style>
  <w:style w:type="paragraph" w:customStyle="1" w:styleId="yiv180902647msonormal">
    <w:name w:val="yiv180902647msonormal"/>
    <w:basedOn w:val="Normale"/>
    <w:rsid w:val="003C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1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4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12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ilburguniversity.edu/webwijs/show/&amp;uid=f.braggion?uid=f.bragg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Galeazzi</dc:creator>
  <cp:lastModifiedBy>Giorgio Galeazzi</cp:lastModifiedBy>
  <cp:revision>1</cp:revision>
  <dcterms:created xsi:type="dcterms:W3CDTF">2011-12-01T15:22:00Z</dcterms:created>
  <dcterms:modified xsi:type="dcterms:W3CDTF">2011-12-01T15:29:00Z</dcterms:modified>
</cp:coreProperties>
</file>