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CB0" w:rsidRPr="003D7CB0" w:rsidRDefault="003D7CB0" w:rsidP="003D7CB0">
      <w:r w:rsidRPr="003D7CB0">
        <w:t> </w:t>
      </w:r>
    </w:p>
    <w:p w:rsidR="003D7CB0" w:rsidRPr="003D7CB0" w:rsidRDefault="003D7CB0" w:rsidP="003D7CB0">
      <w:pPr>
        <w:jc w:val="center"/>
        <w:rPr>
          <w:b/>
        </w:rPr>
      </w:pPr>
      <w:r w:rsidRPr="003D7CB0">
        <w:rPr>
          <w:b/>
        </w:rPr>
        <w:t>SENTENZA N. 303</w:t>
      </w:r>
    </w:p>
    <w:p w:rsidR="003D7CB0" w:rsidRPr="003D7CB0" w:rsidRDefault="003D7CB0" w:rsidP="003D7CB0">
      <w:pPr>
        <w:jc w:val="center"/>
        <w:rPr>
          <w:b/>
        </w:rPr>
      </w:pPr>
      <w:r w:rsidRPr="003D7CB0">
        <w:rPr>
          <w:b/>
        </w:rPr>
        <w:t>ANNO 2003</w:t>
      </w:r>
    </w:p>
    <w:p w:rsidR="003D7CB0" w:rsidRPr="003D7CB0" w:rsidRDefault="003D7CB0" w:rsidP="003D7CB0">
      <w:r w:rsidRPr="003D7CB0">
        <w:t> </w:t>
      </w:r>
    </w:p>
    <w:p w:rsidR="003D7CB0" w:rsidRPr="003D7CB0" w:rsidRDefault="003D7CB0" w:rsidP="003D7CB0">
      <w:pPr>
        <w:rPr>
          <w:sz w:val="22"/>
        </w:rPr>
      </w:pPr>
      <w:hyperlink r:id="rId5" w:history="1">
        <w:r w:rsidRPr="003D7CB0">
          <w:rPr>
            <w:rStyle w:val="Collegamentoipertestuale"/>
            <w:sz w:val="22"/>
          </w:rPr>
          <w:t>nei giudizi di legittimità costituzionale dell’articolo 1, commi da 1 a 12 e 14, della legge 21 dicembre 2001, n. 443 (Delega al Governo in materia di infrastrutture ed insediamenti produttivi strategici ed altri interventi per il rilancio delle attività produttive); dell’art. 13, commi 1, 3, 4, 5, 6 e 11, della legge 1° agosto 2002, n. 166, (Disposizioni in materia di infrastrutture e trasporti); degli articoli da 1 a 11, 13 e da 15 a 20 del decreto legislativo 20 agosto 2002, n. 190 (Attuazione della legge 21 dicembre 2001, n. 443, per la realizzazione delle infrastrutture e degli insediamenti produttivi strategici e di interesse nazionale); del decreto legislativo 4 settembre 2002, n. 198 (Disposizioni volte ad accelerare la realizzazione delle infrastrutture di telecomunicazioni strategiche per la modernizzazione e lo sviluppo del Paese, a norma dell’articolo 1, comma 2, della legge 21 dicembre 2001, n. 443) ed allegati A, B, C e D dello stesso decreto legislativo n. 198 del 2002; promossi con ricorsi: della Regione Marche, notificati il 22 febbraio, il 25 ottobre e il 12 novembre 2002, depositati il 28 febbraio, il 31 ottobre e il 18 novembre 2002, rispettivamente iscritti ai numeri 9, 81 e 86 del registro ricorsi 2002; della Regione Toscana, notificati il 22 febbraio, il 1° e il 24 ottobre, e l’11 novembre 2002, depositati il 1° marzo, il 9 e il 30 ottobre, e il 16 novembre 2002, rispettivamente iscritti ai numeri 11, 68, 79 e 85 del registro ricorsi 2002; della Regione Umbria, notificati il 22 febbraio e l’11 novembre 2002, depositati il 4 marzo e il 19 novembre 2002, rispettivamente iscritti ai numeri 13 e 89 del registro ricorsi 2002; della Provincia autonoma di Trento, notificati il 22 febbraio e il 25 ottobre 2002, depositati il 4 marzo e il 5 novembre 2002, rispettivamente iscritti ai numeri 14 e 83 del registro ricorsi 2002; della Regione Emilia-Romagna, notificati il 23 febbraio e il 12 novembre 2002, depositati il 5 marzo e il 19 novembre 2002, rispettivamente iscritti ai numeri 15 e 88 del registro ricorsi 2002; della Provincia autonoma di Bolzano, notificato il 25 ottobre 2002, depositato il 31 successivo ed iscritto al n. 80 del registro ricorsi 2002; della Regione Campania, notificato il 12 novembre 2002, depositato il 16 successivo ed iscritto al n. 84 del registro ricorsi 2002; della Regione Basilicata, notificato il 12 novembre 2002, depositato il 19 successivo ed iscritto al n. 87 del registro ricorsi 2002; della Regione Lombardia, notificato il 12 novembre 2002, depositato il 21 successivo ed iscritto al n. 90 del registro ricorsi 2002; e del Comune di Vercelli, notificato il 12 novembre 2002, depositato il 21 successivo ed iscritto al n. 91 del registro ricorsi 2002.</w:t>
        </w:r>
      </w:hyperlink>
    </w:p>
    <w:p w:rsidR="003D7CB0" w:rsidRPr="003D7CB0" w:rsidRDefault="003D7CB0" w:rsidP="003D7CB0">
      <w:pPr>
        <w:rPr>
          <w:sz w:val="22"/>
        </w:rPr>
      </w:pPr>
      <w:hyperlink r:id="rId6" w:history="1">
        <w:r w:rsidRPr="003D7CB0">
          <w:rPr>
            <w:rStyle w:val="Collegamentoipertestuale"/>
            <w:i/>
            <w:iCs/>
            <w:sz w:val="22"/>
          </w:rPr>
          <w:t>Visti</w:t>
        </w:r>
        <w:r w:rsidRPr="003D7CB0">
          <w:rPr>
            <w:rStyle w:val="Collegamentoipertestuale"/>
            <w:sz w:val="22"/>
          </w:rPr>
          <w:t xml:space="preserve"> gli atti di costituzione del Presidente del Consiglio dei ministri, nonché gli atti di intervento dell’Associazione Italia </w:t>
        </w:r>
        <w:proofErr w:type="spellStart"/>
        <w:r w:rsidRPr="003D7CB0">
          <w:rPr>
            <w:rStyle w:val="Collegamentoipertestuale"/>
            <w:sz w:val="22"/>
          </w:rPr>
          <w:t>Nostra-Onlus</w:t>
        </w:r>
        <w:proofErr w:type="spellEnd"/>
        <w:r w:rsidRPr="003D7CB0">
          <w:rPr>
            <w:rStyle w:val="Collegamentoipertestuale"/>
            <w:sz w:val="22"/>
          </w:rPr>
          <w:t xml:space="preserve"> ed altre, della Società Wind Telecomunicazioni s.p.a., della Vodafone Omnitel s.p.a., della Società H3G s.p.a., della </w:t>
        </w:r>
        <w:proofErr w:type="spellStart"/>
        <w:r w:rsidRPr="003D7CB0">
          <w:rPr>
            <w:rStyle w:val="Collegamentoipertestuale"/>
            <w:sz w:val="22"/>
          </w:rPr>
          <w:t>T.I.M.</w:t>
        </w:r>
        <w:proofErr w:type="spellEnd"/>
        <w:r w:rsidRPr="003D7CB0">
          <w:rPr>
            <w:rStyle w:val="Collegamentoipertestuale"/>
            <w:sz w:val="22"/>
          </w:rPr>
          <w:t xml:space="preserve"> s.p.a. - Telecom Italia Mobile e dei Comuni di </w:t>
        </w:r>
        <w:proofErr w:type="spellStart"/>
        <w:r w:rsidRPr="003D7CB0">
          <w:rPr>
            <w:rStyle w:val="Collegamentoipertestuale"/>
            <w:sz w:val="22"/>
          </w:rPr>
          <w:t>Pontecurone</w:t>
        </w:r>
        <w:proofErr w:type="spellEnd"/>
        <w:r w:rsidRPr="003D7CB0">
          <w:rPr>
            <w:rStyle w:val="Collegamentoipertestuale"/>
            <w:sz w:val="22"/>
          </w:rPr>
          <w:t xml:space="preserve">, Monte </w:t>
        </w:r>
        <w:proofErr w:type="spellStart"/>
        <w:r w:rsidRPr="003D7CB0">
          <w:rPr>
            <w:rStyle w:val="Collegamentoipertestuale"/>
            <w:sz w:val="22"/>
          </w:rPr>
          <w:t>Porzio</w:t>
        </w:r>
        <w:proofErr w:type="spellEnd"/>
        <w:r w:rsidRPr="003D7CB0">
          <w:rPr>
            <w:rStyle w:val="Collegamentoipertestuale"/>
            <w:sz w:val="22"/>
          </w:rPr>
          <w:t xml:space="preserve"> Catone, Roma, </w:t>
        </w:r>
        <w:proofErr w:type="spellStart"/>
        <w:r w:rsidRPr="003D7CB0">
          <w:rPr>
            <w:rStyle w:val="Collegamentoipertestuale"/>
            <w:sz w:val="22"/>
          </w:rPr>
          <w:t>Polignano</w:t>
        </w:r>
        <w:proofErr w:type="spellEnd"/>
        <w:r w:rsidRPr="003D7CB0">
          <w:rPr>
            <w:rStyle w:val="Collegamentoipertestuale"/>
            <w:sz w:val="22"/>
          </w:rPr>
          <w:t xml:space="preserve"> a Mare, Mantova e del Coordinamento delle associazioni consumatori (CODACONS);</w:t>
        </w:r>
      </w:hyperlink>
    </w:p>
    <w:p w:rsidR="003D7CB0" w:rsidRPr="003D7CB0" w:rsidRDefault="003D7CB0" w:rsidP="003D7CB0">
      <w:pPr>
        <w:rPr>
          <w:sz w:val="22"/>
        </w:rPr>
      </w:pPr>
      <w:hyperlink r:id="rId7" w:history="1">
        <w:r w:rsidRPr="003D7CB0">
          <w:rPr>
            <w:rStyle w:val="Collegamentoipertestuale"/>
            <w:i/>
            <w:iCs/>
            <w:sz w:val="22"/>
          </w:rPr>
          <w:t>udito</w:t>
        </w:r>
        <w:r w:rsidRPr="003D7CB0">
          <w:rPr>
            <w:rStyle w:val="Collegamentoipertestuale"/>
            <w:sz w:val="22"/>
          </w:rPr>
          <w:t xml:space="preserve"> nell’udienza pubblica del 25 marzo 2003 il Giudice relatore Carlo Mezzanotte;</w:t>
        </w:r>
      </w:hyperlink>
    </w:p>
    <w:p w:rsidR="003D7CB0" w:rsidRPr="003D7CB0" w:rsidRDefault="003D7CB0" w:rsidP="003D7CB0">
      <w:hyperlink r:id="rId8" w:history="1">
        <w:r w:rsidRPr="003D7CB0">
          <w:rPr>
            <w:rStyle w:val="Collegamentoipertestuale"/>
            <w:i/>
            <w:iCs/>
            <w:sz w:val="22"/>
          </w:rPr>
          <w:t>uditi</w:t>
        </w:r>
        <w:r w:rsidRPr="003D7CB0">
          <w:rPr>
            <w:rStyle w:val="Collegamentoipertestuale"/>
            <w:sz w:val="22"/>
          </w:rPr>
          <w:t xml:space="preserve"> gli avvocati Stefano Grassi per la Regione Marche; Vito </w:t>
        </w:r>
        <w:proofErr w:type="spellStart"/>
        <w:r w:rsidRPr="003D7CB0">
          <w:rPr>
            <w:rStyle w:val="Collegamentoipertestuale"/>
            <w:sz w:val="22"/>
          </w:rPr>
          <w:t>Vacchi</w:t>
        </w:r>
        <w:proofErr w:type="spellEnd"/>
        <w:r w:rsidRPr="003D7CB0">
          <w:rPr>
            <w:rStyle w:val="Collegamentoipertestuale"/>
            <w:sz w:val="22"/>
          </w:rPr>
          <w:t xml:space="preserve">, Lucia Bora e Fabio </w:t>
        </w:r>
        <w:proofErr w:type="spellStart"/>
        <w:r w:rsidRPr="003D7CB0">
          <w:rPr>
            <w:rStyle w:val="Collegamentoipertestuale"/>
            <w:sz w:val="22"/>
          </w:rPr>
          <w:t>Lorenzoni</w:t>
        </w:r>
        <w:proofErr w:type="spellEnd"/>
        <w:r w:rsidRPr="003D7CB0">
          <w:rPr>
            <w:rStyle w:val="Collegamentoipertestuale"/>
            <w:sz w:val="22"/>
          </w:rPr>
          <w:t xml:space="preserve"> per la Regione Toscana; Giandomenico </w:t>
        </w:r>
        <w:proofErr w:type="spellStart"/>
        <w:r w:rsidRPr="003D7CB0">
          <w:rPr>
            <w:rStyle w:val="Collegamentoipertestuale"/>
            <w:sz w:val="22"/>
          </w:rPr>
          <w:t>Falcon</w:t>
        </w:r>
        <w:proofErr w:type="spellEnd"/>
        <w:r w:rsidRPr="003D7CB0">
          <w:rPr>
            <w:rStyle w:val="Collegamentoipertestuale"/>
            <w:sz w:val="22"/>
          </w:rPr>
          <w:t xml:space="preserve"> e Maurizio </w:t>
        </w:r>
        <w:proofErr w:type="spellStart"/>
        <w:r w:rsidRPr="003D7CB0">
          <w:rPr>
            <w:rStyle w:val="Collegamentoipertestuale"/>
            <w:sz w:val="22"/>
          </w:rPr>
          <w:t>Pedetta</w:t>
        </w:r>
        <w:proofErr w:type="spellEnd"/>
        <w:r w:rsidRPr="003D7CB0">
          <w:rPr>
            <w:rStyle w:val="Collegamentoipertestuale"/>
            <w:sz w:val="22"/>
          </w:rPr>
          <w:t xml:space="preserve"> per la Regione Umbria; Giandomenico </w:t>
        </w:r>
        <w:proofErr w:type="spellStart"/>
        <w:r w:rsidRPr="003D7CB0">
          <w:rPr>
            <w:rStyle w:val="Collegamentoipertestuale"/>
            <w:sz w:val="22"/>
          </w:rPr>
          <w:t>Falcon</w:t>
        </w:r>
        <w:proofErr w:type="spellEnd"/>
        <w:r w:rsidRPr="003D7CB0">
          <w:rPr>
            <w:rStyle w:val="Collegamentoipertestuale"/>
            <w:sz w:val="22"/>
          </w:rPr>
          <w:t xml:space="preserve"> e Luigi Manzi per la Provincia autonoma di Trento; Giandomenico </w:t>
        </w:r>
        <w:proofErr w:type="spellStart"/>
        <w:r w:rsidRPr="003D7CB0">
          <w:rPr>
            <w:rStyle w:val="Collegamentoipertestuale"/>
            <w:sz w:val="22"/>
          </w:rPr>
          <w:t>Falcon</w:t>
        </w:r>
        <w:proofErr w:type="spellEnd"/>
        <w:r w:rsidRPr="003D7CB0">
          <w:rPr>
            <w:rStyle w:val="Collegamentoipertestuale"/>
            <w:sz w:val="22"/>
          </w:rPr>
          <w:t xml:space="preserve">, Luigi Manzi e Fabio Dani per la Regione Emilia-Romagna; Roland </w:t>
        </w:r>
        <w:proofErr w:type="spellStart"/>
        <w:r w:rsidRPr="003D7CB0">
          <w:rPr>
            <w:rStyle w:val="Collegamentoipertestuale"/>
            <w:sz w:val="22"/>
          </w:rPr>
          <w:t>Riz</w:t>
        </w:r>
        <w:proofErr w:type="spellEnd"/>
        <w:r w:rsidRPr="003D7CB0">
          <w:rPr>
            <w:rStyle w:val="Collegamentoipertestuale"/>
            <w:sz w:val="22"/>
          </w:rPr>
          <w:t xml:space="preserve"> e Sergio </w:t>
        </w:r>
        <w:proofErr w:type="spellStart"/>
        <w:r w:rsidRPr="003D7CB0">
          <w:rPr>
            <w:rStyle w:val="Collegamentoipertestuale"/>
            <w:sz w:val="22"/>
          </w:rPr>
          <w:t>Panunzio</w:t>
        </w:r>
        <w:proofErr w:type="spellEnd"/>
        <w:r w:rsidRPr="003D7CB0">
          <w:rPr>
            <w:rStyle w:val="Collegamentoipertestuale"/>
            <w:sz w:val="22"/>
          </w:rPr>
          <w:t xml:space="preserve"> per la Provincia autonoma di Bolzano; Beniamino </w:t>
        </w:r>
        <w:proofErr w:type="spellStart"/>
        <w:r w:rsidRPr="003D7CB0">
          <w:rPr>
            <w:rStyle w:val="Collegamentoipertestuale"/>
            <w:sz w:val="22"/>
          </w:rPr>
          <w:t>Caravita</w:t>
        </w:r>
        <w:proofErr w:type="spellEnd"/>
        <w:r w:rsidRPr="003D7CB0">
          <w:rPr>
            <w:rStyle w:val="Collegamentoipertestuale"/>
            <w:sz w:val="22"/>
          </w:rPr>
          <w:t xml:space="preserve"> di </w:t>
        </w:r>
        <w:proofErr w:type="spellStart"/>
        <w:r w:rsidRPr="003D7CB0">
          <w:rPr>
            <w:rStyle w:val="Collegamentoipertestuale"/>
            <w:sz w:val="22"/>
          </w:rPr>
          <w:t>Toritto</w:t>
        </w:r>
        <w:proofErr w:type="spellEnd"/>
        <w:r w:rsidRPr="003D7CB0">
          <w:rPr>
            <w:rStyle w:val="Collegamentoipertestuale"/>
            <w:sz w:val="22"/>
          </w:rPr>
          <w:t xml:space="preserve"> e Massimo </w:t>
        </w:r>
        <w:proofErr w:type="spellStart"/>
        <w:r w:rsidRPr="003D7CB0">
          <w:rPr>
            <w:rStyle w:val="Collegamentoipertestuale"/>
            <w:sz w:val="22"/>
          </w:rPr>
          <w:t>Luciani</w:t>
        </w:r>
        <w:proofErr w:type="spellEnd"/>
        <w:r w:rsidRPr="003D7CB0">
          <w:rPr>
            <w:rStyle w:val="Collegamentoipertestuale"/>
            <w:sz w:val="22"/>
          </w:rPr>
          <w:t xml:space="preserve"> per la Regione Lombardia; Vincenzo </w:t>
        </w:r>
        <w:proofErr w:type="spellStart"/>
        <w:r w:rsidRPr="003D7CB0">
          <w:rPr>
            <w:rStyle w:val="Collegamentoipertestuale"/>
            <w:sz w:val="22"/>
          </w:rPr>
          <w:t>Cocozza</w:t>
        </w:r>
        <w:proofErr w:type="spellEnd"/>
        <w:r w:rsidRPr="003D7CB0">
          <w:rPr>
            <w:rStyle w:val="Collegamentoipertestuale"/>
            <w:sz w:val="22"/>
          </w:rPr>
          <w:t xml:space="preserve"> per la Regione Campania; Antonino </w:t>
        </w:r>
        <w:proofErr w:type="spellStart"/>
        <w:r w:rsidRPr="003D7CB0">
          <w:rPr>
            <w:rStyle w:val="Collegamentoipertestuale"/>
            <w:sz w:val="22"/>
          </w:rPr>
          <w:t>Cimellaro</w:t>
        </w:r>
        <w:proofErr w:type="spellEnd"/>
        <w:r w:rsidRPr="003D7CB0">
          <w:rPr>
            <w:rStyle w:val="Collegamentoipertestuale"/>
            <w:sz w:val="22"/>
          </w:rPr>
          <w:t xml:space="preserve"> e Carlo </w:t>
        </w:r>
        <w:proofErr w:type="spellStart"/>
        <w:r w:rsidRPr="003D7CB0">
          <w:rPr>
            <w:rStyle w:val="Collegamentoipertestuale"/>
            <w:sz w:val="22"/>
          </w:rPr>
          <w:t>Rienzi</w:t>
        </w:r>
        <w:proofErr w:type="spellEnd"/>
        <w:r w:rsidRPr="003D7CB0">
          <w:rPr>
            <w:rStyle w:val="Collegamentoipertestuale"/>
            <w:sz w:val="22"/>
          </w:rPr>
          <w:t xml:space="preserve"> per il Comune di Vercelli; Corrado V. Giuliano per l’Associazione Italia </w:t>
        </w:r>
        <w:proofErr w:type="spellStart"/>
        <w:r w:rsidRPr="003D7CB0">
          <w:rPr>
            <w:rStyle w:val="Collegamentoipertestuale"/>
            <w:sz w:val="22"/>
          </w:rPr>
          <w:t>Nostra-Onlus</w:t>
        </w:r>
        <w:proofErr w:type="spellEnd"/>
        <w:r w:rsidRPr="003D7CB0">
          <w:rPr>
            <w:rStyle w:val="Collegamentoipertestuale"/>
            <w:sz w:val="22"/>
          </w:rPr>
          <w:t xml:space="preserve"> ed altre; Beniamino </w:t>
        </w:r>
        <w:proofErr w:type="spellStart"/>
        <w:r w:rsidRPr="003D7CB0">
          <w:rPr>
            <w:rStyle w:val="Collegamentoipertestuale"/>
            <w:sz w:val="22"/>
          </w:rPr>
          <w:t>Caravita</w:t>
        </w:r>
        <w:proofErr w:type="spellEnd"/>
        <w:r w:rsidRPr="003D7CB0">
          <w:rPr>
            <w:rStyle w:val="Collegamentoipertestuale"/>
            <w:sz w:val="22"/>
          </w:rPr>
          <w:t xml:space="preserve"> di </w:t>
        </w:r>
        <w:proofErr w:type="spellStart"/>
        <w:r w:rsidRPr="003D7CB0">
          <w:rPr>
            <w:rStyle w:val="Collegamentoipertestuale"/>
            <w:sz w:val="22"/>
          </w:rPr>
          <w:t>Toritto</w:t>
        </w:r>
        <w:proofErr w:type="spellEnd"/>
        <w:r w:rsidRPr="003D7CB0">
          <w:rPr>
            <w:rStyle w:val="Collegamentoipertestuale"/>
            <w:sz w:val="22"/>
          </w:rPr>
          <w:t xml:space="preserve"> e Vittorio D. </w:t>
        </w:r>
        <w:proofErr w:type="spellStart"/>
        <w:r w:rsidRPr="003D7CB0">
          <w:rPr>
            <w:rStyle w:val="Collegamentoipertestuale"/>
            <w:sz w:val="22"/>
          </w:rPr>
          <w:t>Gesmundo</w:t>
        </w:r>
        <w:proofErr w:type="spellEnd"/>
        <w:r w:rsidRPr="003D7CB0">
          <w:rPr>
            <w:rStyle w:val="Collegamentoipertestuale"/>
            <w:sz w:val="22"/>
          </w:rPr>
          <w:t xml:space="preserve"> per la Società Wind Telecomunicazioni s.p.a.; Marco Sica e Mario Libertini per la Vodafone Omnitel s.p.a.; Nicolò </w:t>
        </w:r>
        <w:proofErr w:type="spellStart"/>
        <w:r w:rsidRPr="003D7CB0">
          <w:rPr>
            <w:rStyle w:val="Collegamentoipertestuale"/>
            <w:sz w:val="22"/>
          </w:rPr>
          <w:t>Zanon</w:t>
        </w:r>
        <w:proofErr w:type="spellEnd"/>
        <w:r w:rsidRPr="003D7CB0">
          <w:rPr>
            <w:rStyle w:val="Collegamentoipertestuale"/>
            <w:sz w:val="22"/>
          </w:rPr>
          <w:t xml:space="preserve"> per la Società H3G s.p.a.; Giuseppe De </w:t>
        </w:r>
        <w:proofErr w:type="spellStart"/>
        <w:r w:rsidRPr="003D7CB0">
          <w:rPr>
            <w:rStyle w:val="Collegamentoipertestuale"/>
            <w:sz w:val="22"/>
          </w:rPr>
          <w:t>Vergottini</w:t>
        </w:r>
        <w:proofErr w:type="spellEnd"/>
        <w:r w:rsidRPr="003D7CB0">
          <w:rPr>
            <w:rStyle w:val="Collegamentoipertestuale"/>
            <w:sz w:val="22"/>
          </w:rPr>
          <w:t xml:space="preserve">, Mario Sanino e Carlo Malinconico per la </w:t>
        </w:r>
        <w:proofErr w:type="spellStart"/>
        <w:r w:rsidRPr="003D7CB0">
          <w:rPr>
            <w:rStyle w:val="Collegamentoipertestuale"/>
            <w:sz w:val="22"/>
          </w:rPr>
          <w:t>T.I.M.</w:t>
        </w:r>
        <w:proofErr w:type="spellEnd"/>
        <w:r w:rsidRPr="003D7CB0">
          <w:rPr>
            <w:rStyle w:val="Collegamentoipertestuale"/>
            <w:sz w:val="22"/>
          </w:rPr>
          <w:t xml:space="preserve"> s.p.a. - Telecom Italia Mobile; Antonino </w:t>
        </w:r>
        <w:proofErr w:type="spellStart"/>
        <w:r w:rsidRPr="003D7CB0">
          <w:rPr>
            <w:rStyle w:val="Collegamentoipertestuale"/>
            <w:sz w:val="22"/>
          </w:rPr>
          <w:t>Cimellaro</w:t>
        </w:r>
        <w:proofErr w:type="spellEnd"/>
        <w:r w:rsidRPr="003D7CB0">
          <w:rPr>
            <w:rStyle w:val="Collegamentoipertestuale"/>
            <w:sz w:val="22"/>
          </w:rPr>
          <w:t xml:space="preserve"> e Carlo </w:t>
        </w:r>
        <w:proofErr w:type="spellStart"/>
        <w:r w:rsidRPr="003D7CB0">
          <w:rPr>
            <w:rStyle w:val="Collegamentoipertestuale"/>
            <w:sz w:val="22"/>
          </w:rPr>
          <w:t>Rienzi</w:t>
        </w:r>
        <w:proofErr w:type="spellEnd"/>
        <w:r w:rsidRPr="003D7CB0">
          <w:rPr>
            <w:rStyle w:val="Collegamentoipertestuale"/>
            <w:sz w:val="22"/>
          </w:rPr>
          <w:t xml:space="preserve"> per il Comune di </w:t>
        </w:r>
        <w:proofErr w:type="spellStart"/>
        <w:r w:rsidRPr="003D7CB0">
          <w:rPr>
            <w:rStyle w:val="Collegamentoipertestuale"/>
            <w:sz w:val="22"/>
          </w:rPr>
          <w:t>Pontecurone</w:t>
        </w:r>
        <w:proofErr w:type="spellEnd"/>
        <w:r w:rsidRPr="003D7CB0">
          <w:rPr>
            <w:rStyle w:val="Collegamentoipertestuale"/>
            <w:sz w:val="22"/>
          </w:rPr>
          <w:t xml:space="preserve">; Antonino </w:t>
        </w:r>
        <w:proofErr w:type="spellStart"/>
        <w:r w:rsidRPr="003D7CB0">
          <w:rPr>
            <w:rStyle w:val="Collegamentoipertestuale"/>
            <w:sz w:val="22"/>
          </w:rPr>
          <w:t>Cimellaro</w:t>
        </w:r>
        <w:proofErr w:type="spellEnd"/>
        <w:r w:rsidRPr="003D7CB0">
          <w:rPr>
            <w:rStyle w:val="Collegamentoipertestuale"/>
            <w:sz w:val="22"/>
          </w:rPr>
          <w:t xml:space="preserve"> per i Comuni di Monte </w:t>
        </w:r>
        <w:proofErr w:type="spellStart"/>
        <w:r w:rsidRPr="003D7CB0">
          <w:rPr>
            <w:rStyle w:val="Collegamentoipertestuale"/>
            <w:sz w:val="22"/>
          </w:rPr>
          <w:t>Porzio</w:t>
        </w:r>
        <w:proofErr w:type="spellEnd"/>
        <w:r w:rsidRPr="003D7CB0">
          <w:rPr>
            <w:rStyle w:val="Collegamentoipertestuale"/>
            <w:sz w:val="22"/>
          </w:rPr>
          <w:t xml:space="preserve"> Catone e Mantova; Sebastiano </w:t>
        </w:r>
        <w:proofErr w:type="spellStart"/>
        <w:r w:rsidRPr="003D7CB0">
          <w:rPr>
            <w:rStyle w:val="Collegamentoipertestuale"/>
            <w:sz w:val="22"/>
          </w:rPr>
          <w:t>Capotorto</w:t>
        </w:r>
        <w:proofErr w:type="spellEnd"/>
        <w:r w:rsidRPr="003D7CB0">
          <w:rPr>
            <w:rStyle w:val="Collegamentoipertestuale"/>
            <w:sz w:val="22"/>
          </w:rPr>
          <w:t xml:space="preserve"> per il Comune di Roma; Vito Aurelio </w:t>
        </w:r>
        <w:proofErr w:type="spellStart"/>
        <w:r w:rsidRPr="003D7CB0">
          <w:rPr>
            <w:rStyle w:val="Collegamentoipertestuale"/>
            <w:sz w:val="22"/>
          </w:rPr>
          <w:t>Pappalepore</w:t>
        </w:r>
        <w:proofErr w:type="spellEnd"/>
        <w:r w:rsidRPr="003D7CB0">
          <w:rPr>
            <w:rStyle w:val="Collegamentoipertestuale"/>
            <w:sz w:val="22"/>
          </w:rPr>
          <w:t xml:space="preserve"> per il Comune di </w:t>
        </w:r>
        <w:proofErr w:type="spellStart"/>
        <w:r w:rsidRPr="003D7CB0">
          <w:rPr>
            <w:rStyle w:val="Collegamentoipertestuale"/>
            <w:sz w:val="22"/>
          </w:rPr>
          <w:t>Polignano</w:t>
        </w:r>
        <w:proofErr w:type="spellEnd"/>
        <w:r w:rsidRPr="003D7CB0">
          <w:rPr>
            <w:rStyle w:val="Collegamentoipertestuale"/>
            <w:sz w:val="22"/>
          </w:rPr>
          <w:t xml:space="preserve"> a Mare; Carlo </w:t>
        </w:r>
        <w:proofErr w:type="spellStart"/>
        <w:r w:rsidRPr="003D7CB0">
          <w:rPr>
            <w:rStyle w:val="Collegamentoipertestuale"/>
            <w:sz w:val="22"/>
          </w:rPr>
          <w:t>Rienzi</w:t>
        </w:r>
        <w:proofErr w:type="spellEnd"/>
        <w:r w:rsidRPr="003D7CB0">
          <w:rPr>
            <w:rStyle w:val="Collegamentoipertestuale"/>
            <w:sz w:val="22"/>
          </w:rPr>
          <w:t xml:space="preserve"> per il CODACONS; e l’avvocato dello Stato Paolo Cosentino per il Presidente del Consiglio dei ministri.</w:t>
        </w:r>
      </w:hyperlink>
    </w:p>
    <w:p w:rsidR="003D7CB0" w:rsidRPr="003D7CB0" w:rsidRDefault="003D7CB0" w:rsidP="003D7CB0">
      <w:pPr>
        <w:jc w:val="center"/>
      </w:pPr>
      <w:hyperlink r:id="rId9" w:history="1">
        <w:r w:rsidRPr="003D7CB0">
          <w:rPr>
            <w:rStyle w:val="Collegamentoipertestuale"/>
            <w:i/>
            <w:iCs/>
          </w:rPr>
          <w:t>Considerato in diritto</w:t>
        </w:r>
      </w:hyperlink>
    </w:p>
    <w:p w:rsidR="003D7CB0" w:rsidRPr="003D7CB0" w:rsidRDefault="003D7CB0" w:rsidP="003D7CB0">
      <w:hyperlink r:id="rId10" w:history="1">
        <w:r w:rsidRPr="003D7CB0">
          <w:rPr>
            <w:rStyle w:val="Collegamentoipertestuale"/>
          </w:rPr>
          <w:t xml:space="preserve">1. ¾ Le Regioni Marche, Toscana, Umbria ed Emilia-Romagna e la Provincia autonoma di Trento (reg. ric. </w:t>
        </w:r>
        <w:proofErr w:type="spellStart"/>
        <w:r w:rsidRPr="003D7CB0">
          <w:rPr>
            <w:rStyle w:val="Collegamentoipertestuale"/>
          </w:rPr>
          <w:t>nn</w:t>
        </w:r>
        <w:proofErr w:type="spellEnd"/>
        <w:r w:rsidRPr="003D7CB0">
          <w:rPr>
            <w:rStyle w:val="Collegamentoipertestuale"/>
          </w:rPr>
          <w:t xml:space="preserve">. 9, 11, 13-15 del 2002) denunciano la legge 21 dicembre 2001, n. 443 (Delega al Governo in materia di infrastrutture ed insediamenti produttivi strategici ed altri interventi per il rilancio delle attività produttive), cosiddetta “legge obiettivo”, il cui unico articolo è impugnato in </w:t>
        </w:r>
        <w:r w:rsidRPr="003D7CB0">
          <w:rPr>
            <w:rStyle w:val="Collegamentoipertestuale"/>
          </w:rPr>
          <w:lastRenderedPageBreak/>
          <w:t>più commi e, segnatamente, nei commi da 1 a 12 e nel comma 14, censurati per asserito contrasto con gli articoli 117, 118 e 119 della Costituzione.</w:t>
        </w:r>
      </w:hyperlink>
    </w:p>
    <w:p w:rsidR="003D7CB0" w:rsidRPr="003D7CB0" w:rsidRDefault="003D7CB0" w:rsidP="003D7CB0">
      <w:hyperlink r:id="rId11" w:history="1">
        <w:r w:rsidRPr="003D7CB0">
          <w:rPr>
            <w:rStyle w:val="Collegamentoipertestuale"/>
          </w:rPr>
          <w:t>La Regione Toscana (reg. ric. n. 68 del 2002) impugna, per contrasto con gli artt. 117, 118 e 119 Cost., anche l’art. 13, commi 1, 3, 4, 5, 6 e 11, della legge 1° agosto 2002, n. 166 (Disposizioni in materia di infrastrutture e trasporti), che reca alcune modifiche alla legge n. 443 del 2001.</w:t>
        </w:r>
      </w:hyperlink>
    </w:p>
    <w:p w:rsidR="003D7CB0" w:rsidRPr="003D7CB0" w:rsidRDefault="003D7CB0" w:rsidP="003D7CB0">
      <w:hyperlink r:id="rId12" w:history="1">
        <w:r w:rsidRPr="003D7CB0">
          <w:rPr>
            <w:rStyle w:val="Collegamentoipertestuale"/>
          </w:rPr>
          <w:t xml:space="preserve">La Regione Toscana, la Provincia autonoma di Bolzano, la Regione Marche e la Provincia autonoma di Trento (reg. ric. </w:t>
        </w:r>
        <w:proofErr w:type="spellStart"/>
        <w:r w:rsidRPr="003D7CB0">
          <w:rPr>
            <w:rStyle w:val="Collegamentoipertestuale"/>
          </w:rPr>
          <w:t>nn</w:t>
        </w:r>
        <w:proofErr w:type="spellEnd"/>
        <w:r w:rsidRPr="003D7CB0">
          <w:rPr>
            <w:rStyle w:val="Collegamentoipertestuale"/>
          </w:rPr>
          <w:t xml:space="preserve">. 79-81 e 83 del 2002) denunciano altresì numerosi articoli del decreto legislativo 20 agosto 2002, n. 190 (Attuazione della legge 21 dicembre 2001, n. 443, per la realizzazione delle infrastrutture e degli insediamenti produttivi strategici e di interesse nazionale), in riferimento agli artt. 76, 117, 118 e 120 Cost., nonché allo statuto speciale per il Trentino-Alto Adige, nel testo approvato con </w:t>
        </w:r>
        <w:proofErr w:type="spellStart"/>
        <w:r w:rsidRPr="003D7CB0">
          <w:rPr>
            <w:rStyle w:val="Collegamentoipertestuale"/>
          </w:rPr>
          <w:t>d.P.R.</w:t>
        </w:r>
        <w:proofErr w:type="spellEnd"/>
        <w:r w:rsidRPr="003D7CB0">
          <w:rPr>
            <w:rStyle w:val="Collegamentoipertestuale"/>
          </w:rPr>
          <w:t xml:space="preserve"> 31 agosto 1972, n. 670 (Approvazione del testo unico delle leggi costituzionali concernenti lo statuto speciale per il Trentino-Alto Adige).</w:t>
        </w:r>
      </w:hyperlink>
    </w:p>
    <w:p w:rsidR="003D7CB0" w:rsidRPr="003D7CB0" w:rsidRDefault="003D7CB0" w:rsidP="003D7CB0">
      <w:hyperlink r:id="rId13" w:history="1">
        <w:r w:rsidRPr="003D7CB0">
          <w:rPr>
            <w:rStyle w:val="Collegamentoipertestuale"/>
          </w:rPr>
          <w:t xml:space="preserve">Infine, le Regioni Campania, Toscana, Marche, Basilicata, Emilia-Romagna, Umbria e Lombardia ed il Comune di Vercelli (reg. ric. </w:t>
        </w:r>
        <w:proofErr w:type="spellStart"/>
        <w:r w:rsidRPr="003D7CB0">
          <w:rPr>
            <w:rStyle w:val="Collegamentoipertestuale"/>
          </w:rPr>
          <w:t>nn</w:t>
        </w:r>
        <w:proofErr w:type="spellEnd"/>
        <w:r w:rsidRPr="003D7CB0">
          <w:rPr>
            <w:rStyle w:val="Collegamentoipertestuale"/>
          </w:rPr>
          <w:t>. 84-91 del 2002) impugnano sia l’intero testo del decreto legislativo 4 settembre 2002, n. 198 (Disposizioni volte ad accelerare la realizzazione delle infrastrutture di telecomunicazioni strategiche per la modernizzazione e lo sviluppo del Paese, a norma dell’art. 1, comma 2, della legge 21 dicembre 2001, n. 443), sia, specificamente, numerosi articoli del medesimo decreto legislativo, lamentando la violazione degli artt. 3, 9, 32, 41, 42, 44, 70, 76, 77, 97, 114, 117, 118 e 119 Cost., nonché dell’art. 174 del trattato istitutivo della Comunità europea.</w:t>
        </w:r>
      </w:hyperlink>
    </w:p>
    <w:p w:rsidR="003D7CB0" w:rsidRPr="003D7CB0" w:rsidRDefault="003D7CB0" w:rsidP="003D7CB0">
      <w:hyperlink r:id="rId14" w:history="1">
        <w:r w:rsidRPr="003D7CB0">
          <w:rPr>
            <w:rStyle w:val="Collegamentoipertestuale"/>
          </w:rPr>
          <w:t>1.1. ¾ La stretta connessione per oggetto e per titolo delle norme denunciate, tutte contenute nella legge di delega n. 443 del 2001 e nei decreti legislativi n. 190 e n. 198 del 2002 che se ne proclamano attuativi, nonché la sostanziale analogia delle censure prospettate dalle ricorrenti, rendono opportuna la trattazione congiunta dei ricorsi, che vanno quindi decisi con un’unica sentenza.</w:t>
        </w:r>
      </w:hyperlink>
    </w:p>
    <w:p w:rsidR="003D7CB0" w:rsidRPr="003D7CB0" w:rsidRDefault="003D7CB0" w:rsidP="003D7CB0">
      <w:hyperlink r:id="rId15" w:history="1">
        <w:r w:rsidRPr="003D7CB0">
          <w:rPr>
            <w:rStyle w:val="Collegamentoipertestuale"/>
          </w:rPr>
          <w:t>2. ¾ Prima di affrontare nel merito le censure proposte dalle ricorrenti è opportuno soffermarsi sul contenuto della legge n. 443 del 2001. Si tratta di una disciplina che definisce il procedimento da seguire per l’individuazione, la localizzazione e la realizzazione delle infrastrutture pubbliche e private e degli insediamenti produttivi strategici di preminente interesse nazionale da realizzare per la modernizzazione e lo sviluppo del Paese. Il procedimento si articola secondo queste cadenze: il compito di individuare le suddette opere, da assolversi “nel rispetto delle attribuzioni costituzionali delle Regioni”, è conferito al Governo (comma 1). Nella sua originaria versione la disposizione stabiliva che l’individuazione avvenisse, sentita la Conferenza unificata di cui all’art. 8 del decreto legislativo 28 agosto 1997, n. 281, a mezzo di un programma “formulato su proposta dei Ministri competenti, sentite le Regioni interessate, ovvero su proposta delle Regioni, sentiti i Ministri competenti”. Il programma doveva tener conto del piano generale dei trasporti e doveva essere inserito nel Documento di programmazione economico-finanziaria (DPEF), con indicazione degli stanziamenti necessari per la realizzazione delle opere. Nell’individuare le infrastrutture e gli insediamenti strategici il Governo era tenuto a procedere “secondo finalità di riequilibrio socio-economico fra le aree del territorio nazionale” e ad indicare nel disegno di legge finanziaria “le risorse necessarie, che integrano i finanziamenti pubblici, comunitari e privati allo scopo disponibili”. L’originario comma 1 prevedeva, infine, che “in sede di prima applicazione della presente legge il programma è approvato dal Comitato interministeriale per la programmazione economica (CIPE) entro il 31 dicembre 2001”.</w:t>
        </w:r>
      </w:hyperlink>
    </w:p>
    <w:p w:rsidR="003D7CB0" w:rsidRPr="003D7CB0" w:rsidRDefault="003D7CB0" w:rsidP="003D7CB0">
      <w:hyperlink r:id="rId16" w:history="1">
        <w:r w:rsidRPr="003D7CB0">
          <w:rPr>
            <w:rStyle w:val="Collegamentoipertestuale"/>
          </w:rPr>
          <w:t xml:space="preserve">Il comma 1 dell’art. 1 della legge n. 443 del 2001 è stato modificato dall’art. 13, comma 3, della legge 1° agosto 2002, n. 166, che ha mantenuto in capo al Governo l’individuazione delle infrastrutture e degli insediamenti strategici e di preminente interesse nazionale, ma ha elevato il livello di coinvolgimento delle Regioni e delle Province autonome, introducendo espressamente un’intesa: in base all’art. 1, comma 1, attualmente vigente, l’individuazione delle opere si definisce a mezzo di un programma che è predisposto dal Ministro delle infrastrutture e dei trasporti “d’intesa con i Ministri competenti e le Regioni o Province autonome interessate”. Tale programma deve </w:t>
        </w:r>
        <w:r w:rsidRPr="003D7CB0">
          <w:rPr>
            <w:rStyle w:val="Collegamentoipertestuale"/>
          </w:rPr>
          <w:lastRenderedPageBreak/>
          <w:t>essere inserito sempre nel DPEF ma previo parere del CIPE e “previa intesa della Conferenza unificata”, e gli interventi in esso previsti “sono automaticamente inseriti nelle intese istituzionali di programma e negli accordi di programma quadro nei comparti idrici ed ambientali […] e sono compresi in un’intesa generale quadro avente validità pluriennale tra il Governo e ogni singola Regione o Provincia autonoma, al fine del congiunto coordinamento e realizzazione delle opere”. Anche nella sua attuale versione la norma ribadisce tuttavia che “in sede di prima applicazione della presente legge il programma è approvato dal CIPE entro il 31 dicembre 2001”.</w:t>
        </w:r>
      </w:hyperlink>
    </w:p>
    <w:p w:rsidR="003D7CB0" w:rsidRPr="003D7CB0" w:rsidRDefault="003D7CB0" w:rsidP="003D7CB0">
      <w:hyperlink r:id="rId17" w:history="1">
        <w:r w:rsidRPr="003D7CB0">
          <w:rPr>
            <w:rStyle w:val="Collegamentoipertestuale"/>
          </w:rPr>
          <w:t xml:space="preserve">Regolata la fase di individuazione delle infrastrutture e degli insediamenti produttivi strategici e di preminente interesse nazionale, la legge n. 443 del 2001, al comma 2, conferisce al Governo la delega ad emanare, entro 12 mesi dall’entrata in vigore della legge, uno o più decreti legislativi “volti a definire un quadro normativo finalizzato alla celere realizzazione delle infrastrutture e degli insediamenti individuati ai sensi del comma 1”, dettando, alle lettere da </w:t>
        </w:r>
        <w:r w:rsidRPr="003D7CB0">
          <w:rPr>
            <w:rStyle w:val="Collegamentoipertestuale"/>
            <w:i/>
            <w:iCs/>
          </w:rPr>
          <w:t>a</w:t>
        </w:r>
        <w:r w:rsidRPr="003D7CB0">
          <w:rPr>
            <w:rStyle w:val="Collegamentoipertestuale"/>
          </w:rPr>
          <w:t xml:space="preserve">) ad </w:t>
        </w:r>
        <w:r w:rsidRPr="003D7CB0">
          <w:rPr>
            <w:rStyle w:val="Collegamentoipertestuale"/>
            <w:i/>
            <w:iCs/>
          </w:rPr>
          <w:t>o</w:t>
        </w:r>
        <w:r w:rsidRPr="003D7CB0">
          <w:rPr>
            <w:rStyle w:val="Collegamentoipertestuale"/>
          </w:rPr>
          <w:t xml:space="preserve">) del medesimo comma 2, i principî e i criteri direttivi per l’esercizio del potere legislativo delegato. Questi ultimi investono molteplici aspetti di carattere procedimentale: sono fissati i moduli procedurali per addivenire all’approvazione dei progetti, preliminari e definitivi, delle opere [lettere </w:t>
        </w:r>
        <w:r w:rsidRPr="003D7CB0">
          <w:rPr>
            <w:rStyle w:val="Collegamentoipertestuale"/>
            <w:i/>
            <w:iCs/>
          </w:rPr>
          <w:t>b</w:t>
        </w:r>
        <w:r w:rsidRPr="003D7CB0">
          <w:rPr>
            <w:rStyle w:val="Collegamentoipertestuale"/>
          </w:rPr>
          <w:t xml:space="preserve">) e </w:t>
        </w:r>
        <w:r w:rsidRPr="003D7CB0">
          <w:rPr>
            <w:rStyle w:val="Collegamentoipertestuale"/>
            <w:i/>
            <w:iCs/>
          </w:rPr>
          <w:t>c</w:t>
        </w:r>
        <w:r w:rsidRPr="003D7CB0">
          <w:rPr>
            <w:rStyle w:val="Collegamentoipertestuale"/>
          </w:rPr>
          <w:t xml:space="preserve">)], dovendo risultare, quelli preliminari, “comprensivi di quanto necessario per la localizzazione dell’opera d’intesa con la Regione o la Provincia autonoma competente, che, a tal fine, provvede a sentire preventivamente i Comuni interessati” [lettera </w:t>
        </w:r>
        <w:r w:rsidRPr="003D7CB0">
          <w:rPr>
            <w:rStyle w:val="Collegamentoipertestuale"/>
            <w:i/>
            <w:iCs/>
          </w:rPr>
          <w:t>b</w:t>
        </w:r>
        <w:r w:rsidRPr="003D7CB0">
          <w:rPr>
            <w:rStyle w:val="Collegamentoipertestuale"/>
          </w:rPr>
          <w:t xml:space="preserve">)]; sono individuati i modelli di finanziamento [tecnica di finanza di progetto: lettera </w:t>
        </w:r>
        <w:r w:rsidRPr="003D7CB0">
          <w:rPr>
            <w:rStyle w:val="Collegamentoipertestuale"/>
            <w:i/>
            <w:iCs/>
          </w:rPr>
          <w:t>a</w:t>
        </w:r>
        <w:r w:rsidRPr="003D7CB0">
          <w:rPr>
            <w:rStyle w:val="Collegamentoipertestuale"/>
          </w:rPr>
          <w:t xml:space="preserve">)], di affidamento [contraente generale o concessionario: in particolare lettere </w:t>
        </w:r>
        <w:r w:rsidRPr="003D7CB0">
          <w:rPr>
            <w:rStyle w:val="Collegamentoipertestuale"/>
            <w:i/>
            <w:iCs/>
          </w:rPr>
          <w:t>e</w:t>
        </w:r>
        <w:r w:rsidRPr="003D7CB0">
          <w:rPr>
            <w:rStyle w:val="Collegamentoipertestuale"/>
          </w:rPr>
          <w:t xml:space="preserve">) ed </w:t>
        </w:r>
        <w:r w:rsidRPr="003D7CB0">
          <w:rPr>
            <w:rStyle w:val="Collegamentoipertestuale"/>
            <w:i/>
            <w:iCs/>
          </w:rPr>
          <w:t>f</w:t>
        </w:r>
        <w:r w:rsidRPr="003D7CB0">
          <w:rPr>
            <w:rStyle w:val="Collegamentoipertestuale"/>
          </w:rPr>
          <w:t xml:space="preserve">)] e di aggiudicazione [lettere </w:t>
        </w:r>
        <w:r w:rsidRPr="003D7CB0">
          <w:rPr>
            <w:rStyle w:val="Collegamentoipertestuale"/>
            <w:i/>
            <w:iCs/>
          </w:rPr>
          <w:t>g</w:t>
        </w:r>
        <w:r w:rsidRPr="003D7CB0">
          <w:rPr>
            <w:rStyle w:val="Collegamentoipertestuale"/>
          </w:rPr>
          <w:t xml:space="preserve">) e </w:t>
        </w:r>
        <w:r w:rsidRPr="003D7CB0">
          <w:rPr>
            <w:rStyle w:val="Collegamentoipertestuale"/>
            <w:i/>
            <w:iCs/>
          </w:rPr>
          <w:t>h</w:t>
        </w:r>
        <w:r w:rsidRPr="003D7CB0">
          <w:rPr>
            <w:rStyle w:val="Collegamentoipertestuale"/>
          </w:rPr>
          <w:t>)], ed è predisposta la relativa disciplina, anche in deroga alla legge 11 febbraio 1994, n. 109, ma nella prescritta osservanza della normativa comunitaria.</w:t>
        </w:r>
      </w:hyperlink>
    </w:p>
    <w:p w:rsidR="003D7CB0" w:rsidRPr="003D7CB0" w:rsidRDefault="003D7CB0" w:rsidP="003D7CB0">
      <w:hyperlink r:id="rId18" w:history="1">
        <w:r w:rsidRPr="003D7CB0">
          <w:rPr>
            <w:rStyle w:val="Collegamentoipertestuale"/>
          </w:rPr>
          <w:t>L’assetto procedimentale così sinteticamente descritto - che trova ulteriore svolgimento in numerose altre disposizioni della legge n. 443 del 2001, tra le quali quelle sulla disciplina edilizia (commi da 6 a 12 e comma 14), anch’esse impugnate - si completa con il comma 3-</w:t>
        </w:r>
        <w:r w:rsidRPr="003D7CB0">
          <w:rPr>
            <w:rStyle w:val="Collegamentoipertestuale"/>
            <w:i/>
            <w:iCs/>
          </w:rPr>
          <w:t>bis</w:t>
        </w:r>
        <w:r w:rsidRPr="003D7CB0">
          <w:rPr>
            <w:rStyle w:val="Collegamentoipertestuale"/>
          </w:rPr>
          <w:t xml:space="preserve">, introdotto dal comma 6 dell’art. 13 della legge n. 166 del 2002, il quale prevede una procedura di approvazione dei progetti definitivi “alternativa” a quella stabilita dal precedente comma 2, demandata ad un decreto del Presidente del Consiglio dei ministri previa deliberazione del CIPE integrato dai Presidenti delle Regioni e Province autonome interessate, sentita la Conferenza unificata e previo parere delle competenti commissioni parlamentari. </w:t>
        </w:r>
      </w:hyperlink>
    </w:p>
    <w:p w:rsidR="003D7CB0" w:rsidRPr="003D7CB0" w:rsidRDefault="003D7CB0" w:rsidP="003D7CB0">
      <w:hyperlink r:id="rId19" w:history="1">
        <w:r w:rsidRPr="003D7CB0">
          <w:rPr>
            <w:rStyle w:val="Collegamentoipertestuale"/>
          </w:rPr>
          <w:t xml:space="preserve">2.1. ¾ Questa Corte non è chiamata, nella odierna sede, a giudicare se le singole opere inserite nel programma meritino di essere considerate strategiche, se sia corretta la loro definizione come interventi di preminente interesse nazionale o se con tali qualificazioni siano lese competenze legislative delle Regioni. Simili interrogativi potranno eventualmente porsi nel caso di impugnazione della deliberazione approvativa del programma, che non ha natura legislativa. In questa sede si tratta solo di accertare se il complesso </w:t>
        </w:r>
        <w:r w:rsidRPr="003D7CB0">
          <w:rPr>
            <w:rStyle w:val="Collegamentoipertestuale"/>
            <w:i/>
            <w:iCs/>
          </w:rPr>
          <w:t>iter</w:t>
        </w:r>
        <w:r w:rsidRPr="003D7CB0">
          <w:rPr>
            <w:rStyle w:val="Collegamentoipertestuale"/>
          </w:rPr>
          <w:t xml:space="preserve"> procedimentale prefigurato dal legislatore statale sia </w:t>
        </w:r>
        <w:r w:rsidRPr="003D7CB0">
          <w:rPr>
            <w:rStyle w:val="Collegamentoipertestuale"/>
            <w:i/>
            <w:iCs/>
          </w:rPr>
          <w:t xml:space="preserve">ex se </w:t>
        </w:r>
        <w:r w:rsidRPr="003D7CB0">
          <w:rPr>
            <w:rStyle w:val="Collegamentoipertestuale"/>
          </w:rPr>
          <w:t xml:space="preserve">invasivo delle attribuzioni regionali; si deve cioè appurare se il legislatore nazionale abbia titolo per assumere e regolare l’esercizio di funzioni amministrative su materie in relazione alle quali esso non vanti una potestà legislativa esclusiva, ma solo una potestà concorrente. </w:t>
        </w:r>
      </w:hyperlink>
    </w:p>
    <w:p w:rsidR="003D7CB0" w:rsidRPr="003D7CB0" w:rsidRDefault="003D7CB0" w:rsidP="003D7CB0">
      <w:hyperlink r:id="rId20" w:history="1">
        <w:r w:rsidRPr="003D7CB0">
          <w:rPr>
            <w:rStyle w:val="Collegamentoipertestuale"/>
          </w:rPr>
          <w:t>Il nuovo art. 117 Cost. distribuisce le competenze legislative in base ad uno schema imperniato sulla enumerazione delle competenze statali; con un rovesciamento completo della previgente tecnica del riparto sono ora affidate alle Regioni, oltre alle funzioni concorrenti, le funzioni legislative residuali.</w:t>
        </w:r>
      </w:hyperlink>
    </w:p>
    <w:p w:rsidR="003D7CB0" w:rsidRPr="003D7CB0" w:rsidRDefault="003D7CB0" w:rsidP="003D7CB0">
      <w:hyperlink r:id="rId21" w:history="1">
        <w:r w:rsidRPr="003D7CB0">
          <w:rPr>
            <w:rStyle w:val="Collegamentoipertestuale"/>
          </w:rPr>
          <w:t>In questo quadro, limitare l’attività unificante dello Stato alle sole materie espressamente attribuitegli in potestà esclusiva o alla determinazione dei principî nelle materie di potestà concorrente, come postulano le ricorrenti, significherebbe bensì circondare le competenze legislative delle Regioni di garanzie ferree, ma vorrebbe anche dire svalutare oltremisura istanze unitarie che pure in assetti costituzionali fortemente pervasi da pluralismo istituzionale giustificano, a determinate condizioni, una deroga alla normale ripartizione di competenze [basti pensare al riguardo alla legislazione concorrente dell’ordinamento costituzionale tedesco (</w:t>
        </w:r>
        <w:proofErr w:type="spellStart"/>
        <w:r w:rsidRPr="003D7CB0">
          <w:rPr>
            <w:rStyle w:val="Collegamentoipertestuale"/>
            <w:i/>
            <w:iCs/>
          </w:rPr>
          <w:t>konkurrierende</w:t>
        </w:r>
        <w:proofErr w:type="spellEnd"/>
        <w:r w:rsidRPr="003D7CB0">
          <w:rPr>
            <w:rStyle w:val="Collegamentoipertestuale"/>
            <w:i/>
            <w:iCs/>
          </w:rPr>
          <w:t xml:space="preserve"> </w:t>
        </w:r>
        <w:proofErr w:type="spellStart"/>
        <w:r w:rsidRPr="003D7CB0">
          <w:rPr>
            <w:rStyle w:val="Collegamentoipertestuale"/>
            <w:i/>
            <w:iCs/>
          </w:rPr>
          <w:t>Gesetzgebung</w:t>
        </w:r>
        <w:proofErr w:type="spellEnd"/>
        <w:r w:rsidRPr="003D7CB0">
          <w:rPr>
            <w:rStyle w:val="Collegamentoipertestuale"/>
          </w:rPr>
          <w:t xml:space="preserve">) o alla </w:t>
        </w:r>
        <w:r w:rsidRPr="003D7CB0">
          <w:rPr>
            <w:rStyle w:val="Collegamentoipertestuale"/>
            <w:i/>
            <w:iCs/>
          </w:rPr>
          <w:t xml:space="preserve">clausola di supremazia </w:t>
        </w:r>
        <w:r w:rsidRPr="003D7CB0">
          <w:rPr>
            <w:rStyle w:val="Collegamentoipertestuale"/>
          </w:rPr>
          <w:t>nel sistema federale statunitense (</w:t>
        </w:r>
        <w:proofErr w:type="spellStart"/>
        <w:r w:rsidRPr="003D7CB0">
          <w:rPr>
            <w:rStyle w:val="Collegamentoipertestuale"/>
            <w:i/>
            <w:iCs/>
          </w:rPr>
          <w:t>Supremacy</w:t>
        </w:r>
        <w:proofErr w:type="spellEnd"/>
        <w:r w:rsidRPr="003D7CB0">
          <w:rPr>
            <w:rStyle w:val="Collegamentoipertestuale"/>
            <w:i/>
            <w:iCs/>
          </w:rPr>
          <w:t xml:space="preserve"> </w:t>
        </w:r>
        <w:proofErr w:type="spellStart"/>
        <w:r w:rsidRPr="003D7CB0">
          <w:rPr>
            <w:rStyle w:val="Collegamentoipertestuale"/>
            <w:i/>
            <w:iCs/>
          </w:rPr>
          <w:t>Clause</w:t>
        </w:r>
        <w:proofErr w:type="spellEnd"/>
        <w:r w:rsidRPr="003D7CB0">
          <w:rPr>
            <w:rStyle w:val="Collegamentoipertestuale"/>
          </w:rPr>
          <w:t xml:space="preserve">)]. </w:t>
        </w:r>
        <w:r w:rsidRPr="003D7CB0">
          <w:rPr>
            <w:rStyle w:val="Collegamentoipertestuale"/>
          </w:rPr>
          <w:lastRenderedPageBreak/>
          <w:t xml:space="preserve">Anche nel nostro sistema costituzionale sono presenti </w:t>
        </w:r>
        <w:r w:rsidRPr="003D7CB0">
          <w:rPr>
            <w:rStyle w:val="Collegamentoipertestuale"/>
            <w:highlight w:val="yellow"/>
          </w:rPr>
          <w:t>congegni volti a rendere più flessibile</w:t>
        </w:r>
        <w:r w:rsidRPr="003D7CB0">
          <w:rPr>
            <w:rStyle w:val="Collegamentoipertestuale"/>
          </w:rPr>
          <w:t xml:space="preserve"> un disegno che, in ambiti nei quali coesistono, intrecciate, attribuzioni e funzioni diverse, rischierebbe di vanificare, per l’ampia articolazione delle competenze, istanze di unificazione presenti nei più svariati contesti di vita, le quali, sul piano dei principî giuridici, trovano sostegno nella proclamazione di unità e indivisibilità della Repubblica. U</w:t>
        </w:r>
        <w:r w:rsidRPr="003D7CB0">
          <w:rPr>
            <w:rStyle w:val="Collegamentoipertestuale"/>
            <w:highlight w:val="yellow"/>
          </w:rPr>
          <w:t>n elemento di flessibilità è indubbiamente contenuto nell’art. 118, primo comma, Cost., il quale si riferisce esplicitamente alle funzioni amministrative, ma introduce per queste un meccanismo dinamico che finisce col rendere meno rigida, come si chiarirà subito appresso, la stessa distribuzione delle competenze legislative, là dove prevede che le funzioni amministrative, generalmente attribuite ai Comuni, possano essere allocate ad un livello di governo diverso per assicurarne l’esercizio unitario, sulla base dei principî di sussidiarietà, differenziazione ed adeguatezza.</w:t>
        </w:r>
        <w:r w:rsidRPr="003D7CB0">
          <w:rPr>
            <w:rStyle w:val="Collegamentoipertestuale"/>
          </w:rPr>
          <w:t xml:space="preserve"> E’ del resto coerente con la matrice teorica e con il significato pratico della sussidiarietà che essa agisca come </w:t>
        </w:r>
        <w:proofErr w:type="spellStart"/>
        <w:r w:rsidRPr="003D7CB0">
          <w:rPr>
            <w:rStyle w:val="Collegamentoipertestuale"/>
            <w:i/>
            <w:iCs/>
          </w:rPr>
          <w:t>subsidium</w:t>
        </w:r>
        <w:proofErr w:type="spellEnd"/>
        <w:r w:rsidRPr="003D7CB0">
          <w:rPr>
            <w:rStyle w:val="Collegamentoipertestuale"/>
          </w:rPr>
          <w:t xml:space="preserve"> quando un livello di governo sia inadeguato alle finalità che si intenda raggiungere; ma se ne è comprovata un’attitudine ascensionale deve allora concludersi che, quando l’istanza di esercizio unitario trascende anche l’ambito regionale, la funzione amministrativa può essere esercitata dallo Stato. Ciò non può restare senza conseguenze sull’esercizio della funzione legislativa, giacché </w:t>
        </w:r>
        <w:r w:rsidRPr="003D7CB0">
          <w:rPr>
            <w:rStyle w:val="Collegamentoipertestuale"/>
            <w:highlight w:val="yellow"/>
          </w:rPr>
          <w:t>il principio di legalità, il quale impone che anche le funzioni assunte per sussidiarietà siano organizzate e regolate dalla legge, conduce logicamente ad escludere che le singole Regioni, con discipline differenziate, possano organizzare e regolare funzioni amministrative attratte a livello nazionale e ad affermare che solo la legge statale possa attendere a un compito siffatto.</w:t>
        </w:r>
        <w:r w:rsidRPr="003D7CB0">
          <w:rPr>
            <w:rStyle w:val="Collegamentoipertestuale"/>
          </w:rPr>
          <w:t xml:space="preserve"> </w:t>
        </w:r>
      </w:hyperlink>
    </w:p>
    <w:p w:rsidR="003D7CB0" w:rsidRPr="003D7CB0" w:rsidRDefault="003D7CB0" w:rsidP="003D7CB0">
      <w:hyperlink r:id="rId22" w:history="1">
        <w:r>
          <w:rPr>
            <w:rStyle w:val="Collegamentoipertestuale"/>
          </w:rPr>
          <w:t>2.2.</w:t>
        </w:r>
        <w:r w:rsidRPr="003D7CB0">
          <w:rPr>
            <w:rStyle w:val="Collegamentoipertestuale"/>
          </w:rPr>
          <w:t xml:space="preserve"> Una volta stabilito che, </w:t>
        </w:r>
        <w:r w:rsidRPr="003D7CB0">
          <w:rPr>
            <w:rStyle w:val="Collegamentoipertestuale"/>
            <w:highlight w:val="yellow"/>
          </w:rPr>
          <w:t>nelle materie di competenza statale esclusiva o concorrente, in virtù dell’art. 118, primo comma, la legge può attribuire allo Stato funzioni amministrative e riconosciuto che, in ossequio ai canoni fondanti dello Stato di diritto, essa è anche abilitata a organizzarle e regolarle, al fine di renderne l’esercizio permanentemente raffrontabile a un parametro legale, resta da chiarire che i principî di sussidiarietà e di adeguatezza convivono con il normale riparto di competenze legislative contenuto nel Titolo V e possono giustificarne una deroga solo se la valutazione dell’interesse pubblico sottostante all’assunzione di funzioni regionali da parte dello Stato sia proporzionata, non risulti affetta da irragionevolezza alla stregua di uno scrutinio stretto di costituzionalità, e sia oggetto di un accordo stipulato con la Regione interessata.</w:t>
        </w:r>
        <w:r w:rsidRPr="003D7CB0">
          <w:rPr>
            <w:rStyle w:val="Collegamentoipertestuale"/>
          </w:rPr>
          <w:t xml:space="preserve"> Che dal congiunto disposto degli artt. 117 e 118, primo comma, sia desumibile anche il principio dell’intesa consegue alla peculiare funzione attribuita alla sussidiarietà, che si discosta in parte da quella già conosciuta nel nostro diritto di fonte legale. Enunciato nella legge 15 marzo 1997, n. 59 come criterio ispiratore della distribuzione legale delle funzioni amministrative fra lo Stato e gli altri enti territoriali e quindi già operante nella sua dimensione meramente statica, come fondamento di un ordine prestabilito di competenze, quel principio, con la sua incorporazione nel testo della Costituzione, ha visto mutare il proprio significato. Accanto alla primitiva dimensione statica, che si fa evidente nella tendenziale attribuzione della generalità delle funzioni amministrative ai Comuni, è resa, infatti, attiva una vocazione dinamica della sussidiarietà, che consente ad essa di operare non più come </w:t>
        </w:r>
        <w:proofErr w:type="spellStart"/>
        <w:r w:rsidRPr="003D7CB0">
          <w:rPr>
            <w:rStyle w:val="Collegamentoipertestuale"/>
            <w:i/>
            <w:iCs/>
          </w:rPr>
          <w:t>ratio</w:t>
        </w:r>
        <w:proofErr w:type="spellEnd"/>
        <w:r w:rsidRPr="003D7CB0">
          <w:rPr>
            <w:rStyle w:val="Collegamentoipertestuale"/>
          </w:rPr>
          <w:t xml:space="preserve"> ispiratrice e fondamento di un ordine di attribuzioni stabilite e predeterminate, ma come fattore di flessibilità di quell’ordine in vista del soddisfacimento di esigenze unitarie.</w:t>
        </w:r>
      </w:hyperlink>
    </w:p>
    <w:p w:rsidR="003D7CB0" w:rsidRPr="003D7CB0" w:rsidRDefault="003D7CB0" w:rsidP="003D7CB0">
      <w:hyperlink r:id="rId23" w:history="1">
        <w:r w:rsidRPr="003D7CB0">
          <w:rPr>
            <w:rStyle w:val="Collegamentoipertestuale"/>
          </w:rPr>
          <w:t xml:space="preserve">Ecco dunque dove si fonda una </w:t>
        </w:r>
        <w:r w:rsidRPr="003D7CB0">
          <w:rPr>
            <w:rStyle w:val="Collegamentoipertestuale"/>
            <w:highlight w:val="yellow"/>
          </w:rPr>
          <w:t>concezione procedimentale e consensuale della sussidiarietà e dell’adeguatezza.</w:t>
        </w:r>
        <w:r w:rsidRPr="003D7CB0">
          <w:rPr>
            <w:rStyle w:val="Collegamentoipertestuale"/>
          </w:rPr>
          <w:t xml:space="preserve"> Si comprende infatti come tali principî non possano operare quali mere formule verbali capaci con la loro sola evocazione di modificare a vantaggio della legge nazionale il riparto costituzionalmente stabilito, perché ciò equivarrebbe a negare la stessa rigidità della Costituzione. E si comprende anche come essi non possano assumere la funzione che aveva un tempo l’interesse nazionale, la cui sola allegazione non è ora sufficiente a giustificare l’esercizio da parte dello Stato di una funzione di cui non sia titolare in base all’art. 117 Cost. Nel nuovo Titolo V l’equazione elementare interesse nazionale = competenza statale, che nella prassi legislativa previgente sorreggeva l’erosione delle funzioni amministrative e delle parallele funzioni legislative delle Regioni, è divenuta priva di ogni valore deontico, giacché l’interesse nazionale non costituisce più un limite, né di legittimità, né di merito, alla competenza legislativa regionale.</w:t>
        </w:r>
      </w:hyperlink>
    </w:p>
    <w:p w:rsidR="003D7CB0" w:rsidRPr="003D7CB0" w:rsidRDefault="003D7CB0" w:rsidP="003D7CB0">
      <w:hyperlink r:id="rId24" w:history="1">
        <w:r w:rsidRPr="003D7CB0">
          <w:rPr>
            <w:rStyle w:val="Collegamentoipertestuale"/>
          </w:rPr>
          <w:t xml:space="preserve">Ciò impone di annettere ai principî di sussidiarietà e adeguatezza una valenza squisitamente procedimentale, poiché l’esigenza di esercizio unitario che consente di attrarre, insieme alla funzione amministrativa, anche quella legislativa, può aspirare a superare il vaglio di legittimità costituzionale solo in presenza di una disciplina che prefiguri un </w:t>
        </w:r>
        <w:r w:rsidRPr="003D7CB0">
          <w:rPr>
            <w:rStyle w:val="Collegamentoipertestuale"/>
            <w:i/>
            <w:iCs/>
          </w:rPr>
          <w:t>iter</w:t>
        </w:r>
        <w:r w:rsidRPr="003D7CB0">
          <w:rPr>
            <w:rStyle w:val="Collegamentoipertestuale"/>
          </w:rPr>
          <w:t xml:space="preserve"> in cui assumano il dovuto risalto le attività concertative e di coordinamento orizzontale, ovverosia le intese, che devono essere condotte in base al principio di lealtà.</w:t>
        </w:r>
      </w:hyperlink>
    </w:p>
    <w:p w:rsidR="003D7CB0" w:rsidRPr="003D7CB0" w:rsidRDefault="003D7CB0" w:rsidP="003D7CB0">
      <w:hyperlink r:id="rId25" w:history="1">
        <w:r w:rsidRPr="003D7CB0">
          <w:rPr>
            <w:rStyle w:val="Collegamentoipertestuale"/>
          </w:rPr>
          <w:t> </w:t>
        </w:r>
      </w:hyperlink>
    </w:p>
    <w:p w:rsidR="00790087" w:rsidRDefault="00790087"/>
    <w:sectPr w:rsidR="00790087" w:rsidSect="0079008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defaultTabStop w:val="708"/>
  <w:hyphenationZone w:val="283"/>
  <w:characterSpacingControl w:val="doNotCompress"/>
  <w:compat/>
  <w:rsids>
    <w:rsidRoot w:val="003D7CB0"/>
    <w:rsid w:val="003D7CB0"/>
    <w:rsid w:val="00461B5A"/>
    <w:rsid w:val="006761AC"/>
    <w:rsid w:val="00790087"/>
    <w:rsid w:val="00F857B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857B0"/>
    <w:pPr>
      <w:spacing w:after="0" w:line="240" w:lineRule="auto"/>
      <w:jc w:val="both"/>
    </w:pPr>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99"/>
    <w:semiHidden/>
    <w:unhideWhenUsed/>
    <w:rsid w:val="003D7CB0"/>
    <w:pPr>
      <w:spacing w:before="100" w:beforeAutospacing="1" w:after="100" w:afterAutospacing="1"/>
      <w:jc w:val="left"/>
    </w:pPr>
    <w:rPr>
      <w:rFonts w:eastAsia="Times New Roman" w:cs="Times New Roman"/>
      <w:szCs w:val="24"/>
      <w:lang w:eastAsia="it-IT"/>
    </w:rPr>
  </w:style>
  <w:style w:type="character" w:customStyle="1" w:styleId="CorpodeltestoCarattere">
    <w:name w:val="Corpo del testo Carattere"/>
    <w:basedOn w:val="Carpredefinitoparagrafo"/>
    <w:link w:val="Corpodeltesto"/>
    <w:uiPriority w:val="99"/>
    <w:semiHidden/>
    <w:rsid w:val="003D7CB0"/>
    <w:rPr>
      <w:rFonts w:eastAsia="Times New Roman" w:cs="Times New Roman"/>
      <w:szCs w:val="24"/>
      <w:lang w:eastAsia="it-IT"/>
    </w:rPr>
  </w:style>
  <w:style w:type="character" w:styleId="Collegamentoipertestuale">
    <w:name w:val="Hyperlink"/>
    <w:basedOn w:val="Carpredefinitoparagrafo"/>
    <w:uiPriority w:val="99"/>
    <w:unhideWhenUsed/>
    <w:rsid w:val="003D7CB0"/>
  </w:style>
  <w:style w:type="character" w:styleId="Collegamentovisitato">
    <w:name w:val="FollowedHyperlink"/>
    <w:basedOn w:val="Carpredefinitoparagrafo"/>
    <w:uiPriority w:val="99"/>
    <w:semiHidden/>
    <w:unhideWhenUsed/>
    <w:rsid w:val="003D7CB0"/>
    <w:rPr>
      <w:color w:val="800080"/>
      <w:u w:val="single"/>
    </w:rPr>
  </w:style>
  <w:style w:type="paragraph" w:customStyle="1" w:styleId="considerato">
    <w:name w:val="considerato"/>
    <w:basedOn w:val="Normale"/>
    <w:rsid w:val="003D7CB0"/>
    <w:pPr>
      <w:spacing w:before="100" w:beforeAutospacing="1" w:after="100" w:afterAutospacing="1"/>
      <w:jc w:val="left"/>
    </w:pPr>
    <w:rPr>
      <w:rFonts w:eastAsia="Times New Roman" w:cs="Times New Roman"/>
      <w:szCs w:val="24"/>
      <w:lang w:eastAsia="it-IT"/>
    </w:rPr>
  </w:style>
  <w:style w:type="character" w:customStyle="1" w:styleId="grame">
    <w:name w:val="grame"/>
    <w:basedOn w:val="Carpredefinitoparagrafo"/>
    <w:rsid w:val="003D7CB0"/>
  </w:style>
  <w:style w:type="character" w:customStyle="1" w:styleId="spelle">
    <w:name w:val="spelle"/>
    <w:basedOn w:val="Carpredefinitoparagrafo"/>
    <w:rsid w:val="003D7CB0"/>
  </w:style>
  <w:style w:type="paragraph" w:styleId="Rientrocorpodeltesto">
    <w:name w:val="Body Text Indent"/>
    <w:basedOn w:val="Normale"/>
    <w:link w:val="RientrocorpodeltestoCarattere"/>
    <w:uiPriority w:val="99"/>
    <w:semiHidden/>
    <w:unhideWhenUsed/>
    <w:rsid w:val="003D7CB0"/>
    <w:pPr>
      <w:spacing w:before="100" w:beforeAutospacing="1" w:after="100" w:afterAutospacing="1"/>
      <w:jc w:val="left"/>
    </w:pPr>
    <w:rPr>
      <w:rFonts w:eastAsia="Times New Roman" w:cs="Times New Roman"/>
      <w:szCs w:val="24"/>
      <w:lang w:eastAsia="it-IT"/>
    </w:rPr>
  </w:style>
  <w:style w:type="character" w:customStyle="1" w:styleId="RientrocorpodeltestoCarattere">
    <w:name w:val="Rientro corpo del testo Carattere"/>
    <w:basedOn w:val="Carpredefinitoparagrafo"/>
    <w:link w:val="Rientrocorpodeltesto"/>
    <w:uiPriority w:val="99"/>
    <w:semiHidden/>
    <w:rsid w:val="003D7CB0"/>
    <w:rPr>
      <w:rFonts w:eastAsia="Times New Roman" w:cs="Times New Roman"/>
      <w:szCs w:val="24"/>
      <w:lang w:eastAsia="it-IT"/>
    </w:rPr>
  </w:style>
  <w:style w:type="paragraph" w:customStyle="1" w:styleId="paragrafo">
    <w:name w:val="paragrafo"/>
    <w:basedOn w:val="Normale"/>
    <w:rsid w:val="003D7CB0"/>
    <w:pPr>
      <w:spacing w:before="100" w:beforeAutospacing="1" w:after="100" w:afterAutospacing="1"/>
      <w:jc w:val="left"/>
    </w:pPr>
    <w:rPr>
      <w:rFonts w:eastAsia="Times New Roman" w:cs="Times New Roman"/>
      <w:szCs w:val="24"/>
      <w:lang w:eastAsia="it-IT"/>
    </w:rPr>
  </w:style>
  <w:style w:type="paragraph" w:styleId="Corpodeltesto3">
    <w:name w:val="Body Text 3"/>
    <w:basedOn w:val="Normale"/>
    <w:link w:val="Corpodeltesto3Carattere"/>
    <w:uiPriority w:val="99"/>
    <w:semiHidden/>
    <w:unhideWhenUsed/>
    <w:rsid w:val="003D7CB0"/>
    <w:pPr>
      <w:spacing w:before="100" w:beforeAutospacing="1" w:after="100" w:afterAutospacing="1"/>
      <w:jc w:val="left"/>
    </w:pPr>
    <w:rPr>
      <w:rFonts w:eastAsia="Times New Roman" w:cs="Times New Roman"/>
      <w:szCs w:val="24"/>
      <w:lang w:eastAsia="it-IT"/>
    </w:rPr>
  </w:style>
  <w:style w:type="character" w:customStyle="1" w:styleId="Corpodeltesto3Carattere">
    <w:name w:val="Corpo del testo 3 Carattere"/>
    <w:basedOn w:val="Carpredefinitoparagrafo"/>
    <w:link w:val="Corpodeltesto3"/>
    <w:uiPriority w:val="99"/>
    <w:semiHidden/>
    <w:rsid w:val="003D7CB0"/>
    <w:rPr>
      <w:rFonts w:eastAsia="Times New Roman" w:cs="Times New Roman"/>
      <w:szCs w:val="24"/>
      <w:lang w:eastAsia="it-IT"/>
    </w:rPr>
  </w:style>
  <w:style w:type="paragraph" w:styleId="Rientrocorpodeltesto2">
    <w:name w:val="Body Text Indent 2"/>
    <w:basedOn w:val="Normale"/>
    <w:link w:val="Rientrocorpodeltesto2Carattere"/>
    <w:uiPriority w:val="99"/>
    <w:semiHidden/>
    <w:unhideWhenUsed/>
    <w:rsid w:val="003D7CB0"/>
    <w:pPr>
      <w:spacing w:before="100" w:beforeAutospacing="1" w:after="100" w:afterAutospacing="1"/>
      <w:jc w:val="left"/>
    </w:pPr>
    <w:rPr>
      <w:rFonts w:eastAsia="Times New Roman" w:cs="Times New Roman"/>
      <w:szCs w:val="24"/>
      <w:lang w:eastAsia="it-IT"/>
    </w:rPr>
  </w:style>
  <w:style w:type="character" w:customStyle="1" w:styleId="Rientrocorpodeltesto2Carattere">
    <w:name w:val="Rientro corpo del testo 2 Carattere"/>
    <w:basedOn w:val="Carpredefinitoparagrafo"/>
    <w:link w:val="Rientrocorpodeltesto2"/>
    <w:uiPriority w:val="99"/>
    <w:semiHidden/>
    <w:rsid w:val="003D7CB0"/>
    <w:rPr>
      <w:rFonts w:eastAsia="Times New Roman" w:cs="Times New Roman"/>
      <w:szCs w:val="24"/>
      <w:lang w:eastAsia="it-IT"/>
    </w:rPr>
  </w:style>
  <w:style w:type="paragraph" w:styleId="Corpodeltesto2">
    <w:name w:val="Body Text 2"/>
    <w:basedOn w:val="Normale"/>
    <w:link w:val="Corpodeltesto2Carattere"/>
    <w:uiPriority w:val="99"/>
    <w:semiHidden/>
    <w:unhideWhenUsed/>
    <w:rsid w:val="003D7CB0"/>
    <w:pPr>
      <w:spacing w:before="100" w:beforeAutospacing="1" w:after="100" w:afterAutospacing="1"/>
      <w:jc w:val="left"/>
    </w:pPr>
    <w:rPr>
      <w:rFonts w:eastAsia="Times New Roman" w:cs="Times New Roman"/>
      <w:szCs w:val="24"/>
      <w:lang w:eastAsia="it-IT"/>
    </w:rPr>
  </w:style>
  <w:style w:type="character" w:customStyle="1" w:styleId="Corpodeltesto2Carattere">
    <w:name w:val="Corpo del testo 2 Carattere"/>
    <w:basedOn w:val="Carpredefinitoparagrafo"/>
    <w:link w:val="Corpodeltesto2"/>
    <w:uiPriority w:val="99"/>
    <w:semiHidden/>
    <w:rsid w:val="003D7CB0"/>
    <w:rPr>
      <w:rFonts w:eastAsia="Times New Roman" w:cs="Times New Roman"/>
      <w:szCs w:val="24"/>
      <w:lang w:eastAsia="it-IT"/>
    </w:rPr>
  </w:style>
</w:styles>
</file>

<file path=word/webSettings.xml><?xml version="1.0" encoding="utf-8"?>
<w:webSettings xmlns:r="http://schemas.openxmlformats.org/officeDocument/2006/relationships" xmlns:w="http://schemas.openxmlformats.org/wordprocessingml/2006/main">
  <w:divs>
    <w:div w:id="540939167">
      <w:bodyDiv w:val="1"/>
      <w:marLeft w:val="0"/>
      <w:marRight w:val="0"/>
      <w:marTop w:val="0"/>
      <w:marBottom w:val="0"/>
      <w:divBdr>
        <w:top w:val="none" w:sz="0" w:space="0" w:color="auto"/>
        <w:left w:val="none" w:sz="0" w:space="0" w:color="auto"/>
        <w:bottom w:val="none" w:sz="0" w:space="0" w:color="auto"/>
        <w:right w:val="none" w:sz="0" w:space="0" w:color="auto"/>
      </w:divBdr>
      <w:divsChild>
        <w:div w:id="1125394305">
          <w:marLeft w:val="0"/>
          <w:marRight w:val="0"/>
          <w:marTop w:val="0"/>
          <w:marBottom w:val="0"/>
          <w:divBdr>
            <w:top w:val="none" w:sz="0" w:space="0" w:color="auto"/>
            <w:left w:val="none" w:sz="0" w:space="0" w:color="auto"/>
            <w:bottom w:val="none" w:sz="0" w:space="0" w:color="auto"/>
            <w:right w:val="none" w:sz="0" w:space="0" w:color="auto"/>
          </w:divBdr>
        </w:div>
      </w:divsChild>
    </w:div>
    <w:div w:id="570505391">
      <w:bodyDiv w:val="1"/>
      <w:marLeft w:val="0"/>
      <w:marRight w:val="0"/>
      <w:marTop w:val="0"/>
      <w:marBottom w:val="0"/>
      <w:divBdr>
        <w:top w:val="none" w:sz="0" w:space="0" w:color="auto"/>
        <w:left w:val="none" w:sz="0" w:space="0" w:color="auto"/>
        <w:bottom w:val="none" w:sz="0" w:space="0" w:color="auto"/>
        <w:right w:val="none" w:sz="0" w:space="0" w:color="auto"/>
      </w:divBdr>
      <w:divsChild>
        <w:div w:id="7975317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eb.unife.it/progetti/forumcostituzionale/tre.htm" TargetMode="External"/><Relationship Id="rId13" Type="http://schemas.openxmlformats.org/officeDocument/2006/relationships/hyperlink" Target="http://www.giurcost.org/decisioni/2002/0536s-02.html" TargetMode="External"/><Relationship Id="rId18" Type="http://schemas.openxmlformats.org/officeDocument/2006/relationships/hyperlink" Target="http://www.giurcost.org/decisioni/2002/0536s-02.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giurcost.org/decisioni/2002/0536s-02.html" TargetMode="External"/><Relationship Id="rId7" Type="http://schemas.openxmlformats.org/officeDocument/2006/relationships/hyperlink" Target="http://web.unife.it/progetti/forumcostituzionale/tre.htm" TargetMode="External"/><Relationship Id="rId12" Type="http://schemas.openxmlformats.org/officeDocument/2006/relationships/hyperlink" Target="http://www.giurcost.org/decisioni/2002/0536s-02.html" TargetMode="External"/><Relationship Id="rId17" Type="http://schemas.openxmlformats.org/officeDocument/2006/relationships/hyperlink" Target="http://www.giurcost.org/decisioni/2002/0536s-02.html" TargetMode="External"/><Relationship Id="rId25" Type="http://schemas.openxmlformats.org/officeDocument/2006/relationships/hyperlink" Target="http://www.giurcost.org/decisioni/1996/0087s-96.htm" TargetMode="External"/><Relationship Id="rId2" Type="http://schemas.openxmlformats.org/officeDocument/2006/relationships/styles" Target="styles.xml"/><Relationship Id="rId16" Type="http://schemas.openxmlformats.org/officeDocument/2006/relationships/hyperlink" Target="http://www.giurcost.org/decisioni/2002/0536s-02.html" TargetMode="External"/><Relationship Id="rId20" Type="http://schemas.openxmlformats.org/officeDocument/2006/relationships/hyperlink" Target="http://www.giurcost.org/decisioni/2002/0536s-02.html" TargetMode="External"/><Relationship Id="rId1" Type="http://schemas.openxmlformats.org/officeDocument/2006/relationships/customXml" Target="../customXml/item1.xml"/><Relationship Id="rId6" Type="http://schemas.openxmlformats.org/officeDocument/2006/relationships/hyperlink" Target="http://web.unife.it/progetti/forumcostituzionale/tre.htm" TargetMode="External"/><Relationship Id="rId11" Type="http://schemas.openxmlformats.org/officeDocument/2006/relationships/hyperlink" Target="http://www.giurcost.org/decisioni/2002/0536s-02.html" TargetMode="External"/><Relationship Id="rId24" Type="http://schemas.openxmlformats.org/officeDocument/2006/relationships/hyperlink" Target="http://www.giurcost.org/decisioni/2002/0536s-02.html" TargetMode="External"/><Relationship Id="rId5" Type="http://schemas.openxmlformats.org/officeDocument/2006/relationships/hyperlink" Target="http://web.unife.it/progetti/forumcostituzionale/tre.htm" TargetMode="External"/><Relationship Id="rId15" Type="http://schemas.openxmlformats.org/officeDocument/2006/relationships/hyperlink" Target="http://www.giurcost.org/decisioni/2002/0536s-02.html" TargetMode="External"/><Relationship Id="rId23" Type="http://schemas.openxmlformats.org/officeDocument/2006/relationships/hyperlink" Target="http://www.giurcost.org/decisioni/2002/0536s-02.html" TargetMode="External"/><Relationship Id="rId10" Type="http://schemas.openxmlformats.org/officeDocument/2006/relationships/hyperlink" Target="http://www.giurcost.org/decisioni/2002/0536s-02.html" TargetMode="External"/><Relationship Id="rId19" Type="http://schemas.openxmlformats.org/officeDocument/2006/relationships/hyperlink" Target="http://www.giurcost.org/decisioni/2002/0536s-02.html" TargetMode="External"/><Relationship Id="rId4" Type="http://schemas.openxmlformats.org/officeDocument/2006/relationships/webSettings" Target="webSettings.xml"/><Relationship Id="rId9" Type="http://schemas.openxmlformats.org/officeDocument/2006/relationships/hyperlink" Target="http://www.giurcost.org/decisioni/2002/0536s-02.html" TargetMode="External"/><Relationship Id="rId14" Type="http://schemas.openxmlformats.org/officeDocument/2006/relationships/hyperlink" Target="http://www.giurcost.org/decisioni/2002/0536s-02.html" TargetMode="External"/><Relationship Id="rId22" Type="http://schemas.openxmlformats.org/officeDocument/2006/relationships/hyperlink" Target="http://www.giurcost.org/decisioni/2002/0536s-02.html" TargetMode="External"/><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71084-EE7F-4E31-A16A-DC42D8B15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3203</Words>
  <Characters>18260</Characters>
  <Application>Microsoft Office Word</Application>
  <DocSecurity>0</DocSecurity>
  <Lines>152</Lines>
  <Paragraphs>42</Paragraphs>
  <ScaleCrop>false</ScaleCrop>
  <Company/>
  <LinksUpToDate>false</LinksUpToDate>
  <CharactersWithSpaces>21421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Diritto Pubblico</dc:creator>
  <cp:keywords/>
  <dc:description/>
  <cp:lastModifiedBy>Diritto Pubblico</cp:lastModifiedBy>
  <cp:revision>1</cp:revision>
  <dcterms:created xsi:type="dcterms:W3CDTF">2010-03-04T09:58:00Z</dcterms:created>
  <dcterms:modified xsi:type="dcterms:W3CDTF">2010-03-04T10:04:00Z</dcterms:modified>
</cp:coreProperties>
</file>