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12" w:rsidRDefault="00B07E63">
      <w:pPr>
        <w:rPr>
          <w:sz w:val="28"/>
          <w:lang w:val="it-IT"/>
        </w:rPr>
      </w:pPr>
      <w:r>
        <w:rPr>
          <w:sz w:val="28"/>
          <w:lang w:val="it-IT"/>
        </w:rPr>
        <w:t>Dian Schefold, Brema (Germania)                                      Macerata, 21-11-2011</w:t>
      </w:r>
    </w:p>
    <w:p w:rsidR="002D7412" w:rsidRDefault="002D7412">
      <w:pPr>
        <w:rPr>
          <w:sz w:val="28"/>
          <w:lang w:val="it-IT"/>
        </w:rPr>
      </w:pPr>
    </w:p>
    <w:p w:rsidR="002D7412" w:rsidRDefault="00B07E63">
      <w:pPr>
        <w:rPr>
          <w:lang w:val="it-IT"/>
        </w:rPr>
      </w:pPr>
      <w:r>
        <w:rPr>
          <w:lang w:val="it-IT"/>
        </w:rPr>
        <w:t xml:space="preserve">                                                   </w:t>
      </w:r>
    </w:p>
    <w:p w:rsidR="002D7412" w:rsidRDefault="002D7412">
      <w:pPr>
        <w:rPr>
          <w:lang w:val="it-IT"/>
        </w:rPr>
      </w:pPr>
    </w:p>
    <w:p w:rsidR="002D7412" w:rsidRDefault="002D7412">
      <w:pPr>
        <w:pStyle w:val="Titolo1"/>
      </w:pPr>
    </w:p>
    <w:p w:rsidR="002D7412" w:rsidRDefault="00B07E63">
      <w:pPr>
        <w:pStyle w:val="Titolo1"/>
        <w:rPr>
          <w:sz w:val="36"/>
        </w:rPr>
      </w:pPr>
      <w:r>
        <w:rPr>
          <w:sz w:val="36"/>
        </w:rPr>
        <w:t>Il sistema tedesco di giustizia costituzionale</w:t>
      </w:r>
    </w:p>
    <w:p w:rsidR="002D7412" w:rsidRDefault="002D7412">
      <w:pPr>
        <w:rPr>
          <w:lang w:val="it-IT"/>
        </w:rPr>
      </w:pPr>
    </w:p>
    <w:p w:rsidR="002D7412" w:rsidRDefault="002D7412">
      <w:pPr>
        <w:rPr>
          <w:lang w:val="it-IT"/>
        </w:rPr>
      </w:pPr>
    </w:p>
    <w:p w:rsidR="002D7412" w:rsidRDefault="002D7412">
      <w:pPr>
        <w:rPr>
          <w:sz w:val="28"/>
          <w:lang w:val="it-IT"/>
        </w:rPr>
      </w:pPr>
    </w:p>
    <w:p w:rsidR="002D7412" w:rsidRDefault="00B07E63">
      <w:pPr>
        <w:numPr>
          <w:ilvl w:val="0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Introduzione: Influsso della giurisdizione costituzionale sul sistema costituzionale (Giornale di Storia costituzionale 11, I/2006. p. 209-234) e sistema delle forme di giustizia costituzionale</w:t>
      </w:r>
    </w:p>
    <w:p w:rsidR="002D7412" w:rsidRDefault="00B07E63">
      <w:pPr>
        <w:ind w:left="708"/>
        <w:rPr>
          <w:sz w:val="28"/>
          <w:lang w:val="it-IT"/>
        </w:rPr>
      </w:pPr>
      <w:r>
        <w:rPr>
          <w:sz w:val="28"/>
          <w:lang w:val="it-IT"/>
        </w:rPr>
        <w:t>Elenco poco chiaro delle competenze: art. 18, 21 2° co., 41 2° co., 61, 93 1° co. n. 1-4b, 98 2° e 5° co., 99, 100, 126 LF, § 13 BVerfGG (legge sulla Corte cost.)</w:t>
      </w:r>
    </w:p>
    <w:p w:rsidR="002D7412" w:rsidRDefault="002D7412">
      <w:pPr>
        <w:rPr>
          <w:sz w:val="28"/>
          <w:lang w:val="it-IT"/>
        </w:rPr>
      </w:pPr>
    </w:p>
    <w:p w:rsidR="002D7412" w:rsidRDefault="00B07E63">
      <w:pPr>
        <w:numPr>
          <w:ilvl w:val="0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Origini storiche</w:t>
      </w:r>
    </w:p>
    <w:p w:rsidR="002D7412" w:rsidRDefault="00B07E63">
      <w:pPr>
        <w:numPr>
          <w:ilvl w:val="1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 xml:space="preserve">Controllo di legittimità costituzionale delle leggi </w:t>
      </w:r>
    </w:p>
    <w:p w:rsidR="002D7412" w:rsidRDefault="00B07E63">
      <w:pPr>
        <w:numPr>
          <w:ilvl w:val="1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Conflitti (Governo – Parlamento) nella monarchia costituzionale</w:t>
      </w:r>
    </w:p>
    <w:p w:rsidR="002D7412" w:rsidRDefault="00B07E63">
      <w:pPr>
        <w:numPr>
          <w:ilvl w:val="1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Ricorsi diretti</w:t>
      </w:r>
    </w:p>
    <w:p w:rsidR="002D7412" w:rsidRDefault="002D7412">
      <w:pPr>
        <w:rPr>
          <w:sz w:val="28"/>
          <w:lang w:val="it-IT"/>
        </w:rPr>
      </w:pPr>
    </w:p>
    <w:p w:rsidR="002D7412" w:rsidRDefault="00B07E63">
      <w:pPr>
        <w:numPr>
          <w:ilvl w:val="0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Problematica nell’elaborazione della Legge Fondamentale 1948/49: il rapporto tra giurisdizione (ordinaria, anche amministrativa) e giurisdizione costituzionale: Separazione o collegamento?</w:t>
      </w:r>
    </w:p>
    <w:p w:rsidR="002D7412" w:rsidRDefault="002D7412">
      <w:pPr>
        <w:rPr>
          <w:sz w:val="28"/>
          <w:lang w:val="it-IT"/>
        </w:rPr>
      </w:pPr>
    </w:p>
    <w:p w:rsidR="002D7412" w:rsidRDefault="00B07E63">
      <w:pPr>
        <w:numPr>
          <w:ilvl w:val="0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L’introduzione del ricorso diretto: incertezza, poi influsso pratico, influsso sul sistema: La Corte costituzionale come Corte suprema</w:t>
      </w:r>
    </w:p>
    <w:p w:rsidR="002D7412" w:rsidRDefault="002D7412">
      <w:pPr>
        <w:rPr>
          <w:sz w:val="28"/>
          <w:lang w:val="it-IT"/>
        </w:rPr>
      </w:pPr>
    </w:p>
    <w:p w:rsidR="002D7412" w:rsidRDefault="00B07E63">
      <w:pPr>
        <w:numPr>
          <w:ilvl w:val="0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Il sistema attuale</w:t>
      </w:r>
    </w:p>
    <w:p w:rsidR="002D7412" w:rsidRDefault="00B07E63">
      <w:pPr>
        <w:numPr>
          <w:ilvl w:val="1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Stato di diritto, protezione dei diritti, giurisdizione</w:t>
      </w:r>
    </w:p>
    <w:p w:rsidR="002D7412" w:rsidRDefault="00B07E63">
      <w:pPr>
        <w:numPr>
          <w:ilvl w:val="1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Conflitti di</w:t>
      </w:r>
    </w:p>
    <w:p w:rsidR="002D7412" w:rsidRDefault="00B07E63">
      <w:pPr>
        <w:ind w:left="1080" w:firstLine="336"/>
        <w:rPr>
          <w:sz w:val="28"/>
          <w:lang w:val="it-IT"/>
        </w:rPr>
      </w:pPr>
      <w:r>
        <w:rPr>
          <w:sz w:val="28"/>
          <w:lang w:val="it-IT"/>
        </w:rPr>
        <w:t>- diritto privato (e penale)</w:t>
      </w:r>
    </w:p>
    <w:p w:rsidR="002D7412" w:rsidRDefault="00B07E63">
      <w:pPr>
        <w:ind w:left="1080" w:firstLine="336"/>
        <w:rPr>
          <w:sz w:val="28"/>
          <w:lang w:val="it-IT"/>
        </w:rPr>
      </w:pPr>
      <w:r>
        <w:rPr>
          <w:sz w:val="28"/>
          <w:lang w:val="it-IT"/>
        </w:rPr>
        <w:t>- diritto pubblico non costituzionale</w:t>
      </w:r>
    </w:p>
    <w:p w:rsidR="002D7412" w:rsidRDefault="00B07E63">
      <w:pPr>
        <w:ind w:left="1080" w:firstLine="336"/>
        <w:rPr>
          <w:sz w:val="28"/>
          <w:lang w:val="it-IT"/>
        </w:rPr>
      </w:pPr>
      <w:r>
        <w:rPr>
          <w:sz w:val="28"/>
          <w:lang w:val="it-IT"/>
        </w:rPr>
        <w:t>- diritto costituzionale</w:t>
      </w:r>
    </w:p>
    <w:p w:rsidR="002D7412" w:rsidRDefault="00B07E63">
      <w:pPr>
        <w:numPr>
          <w:ilvl w:val="1"/>
          <w:numId w:val="1"/>
        </w:numPr>
        <w:rPr>
          <w:sz w:val="28"/>
          <w:lang w:val="it-IT"/>
        </w:rPr>
      </w:pPr>
      <w:r>
        <w:rPr>
          <w:sz w:val="28"/>
          <w:lang w:val="it-IT"/>
        </w:rPr>
        <w:t>Delimitazione dei conflitti di diritto costituzionale</w:t>
      </w:r>
    </w:p>
    <w:p w:rsidR="002D7412" w:rsidRDefault="00B07E63">
      <w:pPr>
        <w:ind w:left="1080" w:firstLine="336"/>
        <w:rPr>
          <w:sz w:val="28"/>
          <w:lang w:val="it-IT"/>
        </w:rPr>
      </w:pPr>
      <w:r>
        <w:rPr>
          <w:sz w:val="28"/>
          <w:lang w:val="it-IT"/>
        </w:rPr>
        <w:t>- conflitti costituzionali</w:t>
      </w:r>
    </w:p>
    <w:p w:rsidR="002D7412" w:rsidRDefault="00B07E63">
      <w:pPr>
        <w:ind w:left="1080" w:firstLine="336"/>
        <w:rPr>
          <w:sz w:val="28"/>
          <w:lang w:val="it-IT"/>
        </w:rPr>
      </w:pPr>
      <w:r>
        <w:rPr>
          <w:sz w:val="28"/>
          <w:lang w:val="it-IT"/>
        </w:rPr>
        <w:t>- aspetti costituzionali di conflitti non costituzionali</w:t>
      </w:r>
    </w:p>
    <w:p w:rsidR="002D7412" w:rsidRDefault="00B07E63">
      <w:pPr>
        <w:ind w:left="1080" w:firstLine="336"/>
        <w:rPr>
          <w:sz w:val="28"/>
          <w:lang w:val="it-IT"/>
        </w:rPr>
      </w:pPr>
      <w:r>
        <w:rPr>
          <w:sz w:val="28"/>
          <w:lang w:val="it-IT"/>
        </w:rPr>
        <w:t>- aspetti costituzionali di sentenze giurisdizionali supreme</w:t>
      </w:r>
    </w:p>
    <w:p w:rsidR="002D7412" w:rsidRDefault="00B07E63">
      <w:pPr>
        <w:ind w:left="360"/>
        <w:rPr>
          <w:sz w:val="28"/>
          <w:lang w:val="it-IT"/>
        </w:rPr>
      </w:pPr>
      <w:r>
        <w:rPr>
          <w:sz w:val="28"/>
          <w:lang w:val="it-IT"/>
        </w:rPr>
        <w:t xml:space="preserve"> </w:t>
      </w:r>
    </w:p>
    <w:p w:rsidR="00B07E63" w:rsidRDefault="00B07E63">
      <w:pPr>
        <w:ind w:left="360"/>
        <w:rPr>
          <w:sz w:val="28"/>
          <w:lang w:val="it-IT"/>
        </w:rPr>
      </w:pPr>
      <w:r>
        <w:rPr>
          <w:sz w:val="28"/>
          <w:lang w:val="it-IT"/>
        </w:rPr>
        <w:t>6. Conclusione</w:t>
      </w:r>
      <w:r>
        <w:rPr>
          <w:sz w:val="28"/>
          <w:lang w:val="it-IT"/>
        </w:rPr>
        <w:tab/>
      </w:r>
    </w:p>
    <w:sectPr w:rsidR="00B07E63" w:rsidSect="002D74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C5DE2"/>
    <w:multiLevelType w:val="hybridMultilevel"/>
    <w:tmpl w:val="21D4274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842F9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noPunctuationKerning/>
  <w:characterSpacingControl w:val="doNotCompress"/>
  <w:compat>
    <w:applyBreakingRules/>
  </w:compat>
  <w:rsids>
    <w:rsidRoot w:val="00E42A2E"/>
    <w:rsid w:val="002D7412"/>
    <w:rsid w:val="00926941"/>
    <w:rsid w:val="00B07E63"/>
    <w:rsid w:val="00E4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7412"/>
    <w:rPr>
      <w:sz w:val="24"/>
      <w:szCs w:val="24"/>
      <w:lang w:val="de-DE" w:eastAsia="en-US"/>
    </w:rPr>
  </w:style>
  <w:style w:type="paragraph" w:styleId="Titolo1">
    <w:name w:val="heading 1"/>
    <w:basedOn w:val="Normale"/>
    <w:next w:val="Normale"/>
    <w:qFormat/>
    <w:rsid w:val="002D7412"/>
    <w:pPr>
      <w:keepNext/>
      <w:jc w:val="center"/>
      <w:outlineLvl w:val="0"/>
    </w:pPr>
    <w:rPr>
      <w:b/>
      <w:bCs/>
      <w:sz w:val="3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Dian Schefold, Brema (Germania)                                                   Macerata, 21-11-2011</vt:lpstr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Dian Schefold, Brema (Germania)                                                   Macerata, 21-11-2011</dc:title>
  <dc:subject/>
  <dc:creator>Dian Schefold</dc:creator>
  <cp:keywords/>
  <dc:description/>
  <cp:lastModifiedBy>Diritto Pubblico</cp:lastModifiedBy>
  <cp:revision>2</cp:revision>
  <dcterms:created xsi:type="dcterms:W3CDTF">2011-11-29T07:18:00Z</dcterms:created>
  <dcterms:modified xsi:type="dcterms:W3CDTF">2011-11-29T07:18:00Z</dcterms:modified>
</cp:coreProperties>
</file>