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BA1" w:rsidRPr="00341BA1" w:rsidRDefault="00341BA1" w:rsidP="00341BA1">
      <w:pPr>
        <w:spacing w:after="0" w:line="240" w:lineRule="auto"/>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Autorità:</w:t>
      </w:r>
      <w:r w:rsidRPr="00341BA1">
        <w:rPr>
          <w:rFonts w:ascii="Times New Roman" w:eastAsia="Times New Roman" w:hAnsi="Times New Roman" w:cs="Times New Roman"/>
          <w:sz w:val="24"/>
          <w:szCs w:val="24"/>
          <w:lang w:eastAsia="it-IT"/>
        </w:rPr>
        <w:t xml:space="preserve"> Cassazione civile sez. lav. </w:t>
      </w:r>
      <w:r w:rsidRPr="00341BA1">
        <w:rPr>
          <w:rFonts w:ascii="Times New Roman" w:eastAsia="Times New Roman" w:hAnsi="Times New Roman" w:cs="Times New Roman"/>
          <w:b/>
          <w:bCs/>
          <w:sz w:val="24"/>
          <w:szCs w:val="24"/>
          <w:lang w:eastAsia="it-IT"/>
        </w:rPr>
        <w:t>Data:</w:t>
      </w:r>
      <w:r w:rsidRPr="00341BA1">
        <w:rPr>
          <w:rFonts w:ascii="Times New Roman" w:eastAsia="Times New Roman" w:hAnsi="Times New Roman" w:cs="Times New Roman"/>
          <w:sz w:val="24"/>
          <w:szCs w:val="24"/>
          <w:lang w:eastAsia="it-IT"/>
        </w:rPr>
        <w:t xml:space="preserve"> 01/10/2012 </w:t>
      </w:r>
      <w:r w:rsidRPr="00341BA1">
        <w:rPr>
          <w:rFonts w:ascii="Times New Roman" w:eastAsia="Times New Roman" w:hAnsi="Times New Roman" w:cs="Times New Roman"/>
          <w:b/>
          <w:bCs/>
          <w:sz w:val="24"/>
          <w:szCs w:val="24"/>
          <w:lang w:eastAsia="it-IT"/>
        </w:rPr>
        <w:t>Numero:</w:t>
      </w:r>
      <w:r w:rsidRPr="00341BA1">
        <w:rPr>
          <w:rFonts w:ascii="Times New Roman" w:eastAsia="Times New Roman" w:hAnsi="Times New Roman" w:cs="Times New Roman"/>
          <w:sz w:val="24"/>
          <w:szCs w:val="24"/>
          <w:lang w:eastAsia="it-IT"/>
        </w:rPr>
        <w:t xml:space="preserve"> 16622</w:t>
      </w:r>
    </w:p>
    <w:p w:rsidR="00341BA1" w:rsidRPr="00341BA1" w:rsidRDefault="00341BA1" w:rsidP="00341BA1">
      <w:pPr>
        <w:spacing w:after="0" w:line="240" w:lineRule="auto"/>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Classificazioni:</w:t>
      </w:r>
      <w:r w:rsidRPr="00341BA1">
        <w:rPr>
          <w:rFonts w:ascii="Times New Roman" w:eastAsia="Times New Roman" w:hAnsi="Times New Roman" w:cs="Times New Roman"/>
          <w:sz w:val="24"/>
          <w:szCs w:val="24"/>
          <w:lang w:eastAsia="it-IT"/>
        </w:rPr>
        <w:t xml:space="preserve"> LAVORO SUBORDINATO (Rapporto di) - Diritti e doveri delle parti - - impianti e strumenti di controllo a distanza dell'attività dei lavoratori </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Fatto</w:t>
      </w:r>
      <w:r w:rsidRPr="00341BA1">
        <w:rPr>
          <w:rFonts w:ascii="Times New Roman" w:eastAsia="Times New Roman" w:hAnsi="Times New Roman" w:cs="Times New Roman"/>
          <w:sz w:val="24"/>
          <w:szCs w:val="24"/>
          <w:lang w:eastAsia="it-IT"/>
        </w:rPr>
        <w:t xml:space="preserve"> </w:t>
      </w:r>
      <w:r w:rsidRPr="00341BA1">
        <w:rPr>
          <w:rFonts w:ascii="Times New Roman" w:eastAsia="Times New Roman" w:hAnsi="Times New Roman" w:cs="Times New Roman"/>
          <w:sz w:val="24"/>
          <w:szCs w:val="24"/>
          <w:lang w:eastAsia="it-IT"/>
        </w:rPr>
        <w:br/>
        <w:t xml:space="preserve">SVOLGIMENTO DEL PROCESSO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2. Il R. aveva adito il Tribunale per sentire dichiarare l'illegittimità del licenziamento intimatogli in data 23 dicembre 2004, con l'adozione delle conseguenti statuizioni di cui all'art. 18 Statuto dei lavoratori. Esponeva che con contestazioni del 2 e del 23 novembre 2004 era stato a lui addebitato, quale operatore telefonico di centrale di prima assistenza stradale e automobilistica, di aver intrattenuto, nel periodo 1 agosto - 29 ottobre 2004, n. 460 contatti telefonici inferiori a 15 secondi (tempo non sufficiente per sentire le richieste degli utenti e rispondere) e di aver effettuato 136 telefonate personali.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Tribunale di Roma rigettava la domanda e Corte d'Appello, ritenevano che il sistema di rilevamento delle telefonate attraverso il software </w:t>
      </w:r>
      <w:proofErr w:type="spellStart"/>
      <w:r w:rsidRPr="00341BA1">
        <w:rPr>
          <w:rFonts w:ascii="Times New Roman" w:eastAsiaTheme="minorEastAsia" w:hAnsi="Times New Roman" w:cs="Times New Roman"/>
          <w:sz w:val="24"/>
          <w:szCs w:val="24"/>
          <w:lang w:eastAsia="it-IT"/>
        </w:rPr>
        <w:t>Bluès</w:t>
      </w:r>
      <w:proofErr w:type="spellEnd"/>
      <w:r w:rsidRPr="00341BA1">
        <w:rPr>
          <w:rFonts w:ascii="Times New Roman" w:eastAsiaTheme="minorEastAsia" w:hAnsi="Times New Roman" w:cs="Times New Roman"/>
          <w:sz w:val="24"/>
          <w:szCs w:val="24"/>
          <w:lang w:eastAsia="it-IT"/>
        </w:rPr>
        <w:t xml:space="preserve"> 2002 non fosse in contrasto con l'art. 4 dello Statuto dei lavoratori, in quanto relativo al c.d. controllo difensivo.</w:t>
      </w: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Affermava, altresì, la tempestività della contestazione e la sussistenza della prova in fatto, in ragione dei tabulati, delle condotte ascritte al R.; riteneva, quindi, sussistente la responsabilità di quest'ultimo in ordine ai fatti contestati, </w:t>
      </w:r>
      <w:proofErr w:type="spellStart"/>
      <w:r w:rsidRPr="00341BA1">
        <w:rPr>
          <w:rFonts w:ascii="Times New Roman" w:eastAsiaTheme="minorEastAsia" w:hAnsi="Times New Roman" w:cs="Times New Roman"/>
          <w:sz w:val="24"/>
          <w:szCs w:val="24"/>
          <w:lang w:eastAsia="it-IT"/>
        </w:rPr>
        <w:t>nonchè</w:t>
      </w:r>
      <w:proofErr w:type="spellEnd"/>
      <w:r w:rsidRPr="00341BA1">
        <w:rPr>
          <w:rFonts w:ascii="Times New Roman" w:eastAsiaTheme="minorEastAsia" w:hAnsi="Times New Roman" w:cs="Times New Roman"/>
          <w:sz w:val="24"/>
          <w:szCs w:val="24"/>
          <w:lang w:eastAsia="it-IT"/>
        </w:rPr>
        <w:t xml:space="preserve"> la gravità degli stessi.</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t xml:space="preserve">MOTIVI DELLA DECISIONE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2. Con il secondo motivo di ricorso è dedotta violazione della L. n. 300 del 1970, art. 4.</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Erroneamente, la Corte d'Appello avrebbe ritenuto legittimi gli accertamenti compiuti dalla società ACI Global spa con il sistema informatico </w:t>
      </w:r>
      <w:proofErr w:type="spellStart"/>
      <w:r w:rsidRPr="00341BA1">
        <w:rPr>
          <w:rFonts w:ascii="Times New Roman" w:eastAsiaTheme="minorEastAsia" w:hAnsi="Times New Roman" w:cs="Times New Roman"/>
          <w:sz w:val="24"/>
          <w:szCs w:val="24"/>
          <w:lang w:eastAsia="it-IT"/>
        </w:rPr>
        <w:t>Bluès</w:t>
      </w:r>
      <w:proofErr w:type="spellEnd"/>
      <w:r w:rsidRPr="00341BA1">
        <w:rPr>
          <w:rFonts w:ascii="Times New Roman" w:eastAsiaTheme="minorEastAsia" w:hAnsi="Times New Roman" w:cs="Times New Roman"/>
          <w:sz w:val="24"/>
          <w:szCs w:val="24"/>
          <w:lang w:eastAsia="it-IT"/>
        </w:rPr>
        <w:t xml:space="preserve"> 2002, nonostante il fatto che lo stesso consentisse un controllo a distanza sull'attività lavorativa e fosse installato in assenza di accordo con le OO.SS., o autorizzazione dell'Ispettore del lavoro, affermando che si trattava di controllo difensivo, in quanto tale sottratto all'ambito di applicazione del citato art. 4.</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3. Con il terzo motivo di ricorso è dedotta omessa motivazione circa fatti controversi e decisivi riguardanti la ritenuta sussistenza e riferibilità al ricorrente degli addebiti posti a fondamento del licenziamento.</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Ed infatti, l'acquisizione dei tabulati, </w:t>
      </w:r>
      <w:proofErr w:type="spellStart"/>
      <w:r w:rsidRPr="00341BA1">
        <w:rPr>
          <w:rFonts w:ascii="Times New Roman" w:eastAsiaTheme="minorEastAsia" w:hAnsi="Times New Roman" w:cs="Times New Roman"/>
          <w:sz w:val="24"/>
          <w:szCs w:val="24"/>
          <w:lang w:eastAsia="it-IT"/>
        </w:rPr>
        <w:t>nonchè</w:t>
      </w:r>
      <w:proofErr w:type="spellEnd"/>
      <w:r w:rsidRPr="00341BA1">
        <w:rPr>
          <w:rFonts w:ascii="Times New Roman" w:eastAsiaTheme="minorEastAsia" w:hAnsi="Times New Roman" w:cs="Times New Roman"/>
          <w:sz w:val="24"/>
          <w:szCs w:val="24"/>
          <w:lang w:eastAsia="it-IT"/>
        </w:rPr>
        <w:t xml:space="preserve"> la documentazione acquisita con il sistema di controllo, posti dal giudice di appello a fondamento della prova delle condotte contestate al R., sarebbe illegittima e illecita (D.Lgs. n. 196 del 2003, art. 171), con la conseguente illegittimità della contestazione disciplinare e del successivo licenziamento. Inoltre, contrariamente a quanto ritenuto dalla Corte d'Appello, in nessuna lettera di reclamo, </w:t>
      </w:r>
      <w:proofErr w:type="spellStart"/>
      <w:r w:rsidRPr="00341BA1">
        <w:rPr>
          <w:rFonts w:ascii="Times New Roman" w:eastAsiaTheme="minorEastAsia" w:hAnsi="Times New Roman" w:cs="Times New Roman"/>
          <w:sz w:val="24"/>
          <w:szCs w:val="24"/>
          <w:lang w:eastAsia="it-IT"/>
        </w:rPr>
        <w:t>nè</w:t>
      </w:r>
      <w:proofErr w:type="spellEnd"/>
      <w:r w:rsidRPr="00341BA1">
        <w:rPr>
          <w:rFonts w:ascii="Times New Roman" w:eastAsiaTheme="minorEastAsia" w:hAnsi="Times New Roman" w:cs="Times New Roman"/>
          <w:sz w:val="24"/>
          <w:szCs w:val="24"/>
          <w:lang w:eastAsia="it-IT"/>
        </w:rPr>
        <w:t xml:space="preserve"> nelle deposizioni dei testi C.L. e B.E. vi era un qualunque elemento che consentisse di riferire i fatti/disservizi denunciati a comportamenti di esso ricorrente, neppure in via indiretta o indiziaria.</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4. Il secondo ed il terzo motivo di ricorso devono essere esaminati congiuntamente in ragione della loro connessione. Gli stessi sono fondati e devono essere accolti.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4.1. La L. n. 300 del 1970, art. 4, commi 1 e 2, stabilisce il divieto di apparecchiature di controllo a distanza, e subordina ad accordo con le </w:t>
      </w:r>
      <w:proofErr w:type="spellStart"/>
      <w:r w:rsidRPr="00341BA1">
        <w:rPr>
          <w:rFonts w:ascii="Times New Roman" w:eastAsiaTheme="minorEastAsia" w:hAnsi="Times New Roman" w:cs="Times New Roman"/>
          <w:sz w:val="24"/>
          <w:szCs w:val="24"/>
          <w:lang w:eastAsia="it-IT"/>
        </w:rPr>
        <w:t>r.s.a</w:t>
      </w:r>
      <w:proofErr w:type="spellEnd"/>
      <w:r w:rsidRPr="00341BA1">
        <w:rPr>
          <w:rFonts w:ascii="Times New Roman" w:eastAsiaTheme="minorEastAsia" w:hAnsi="Times New Roman" w:cs="Times New Roman"/>
          <w:sz w:val="24"/>
          <w:szCs w:val="24"/>
          <w:lang w:eastAsia="it-IT"/>
        </w:rPr>
        <w:t>., o a specifiche disposizioni dell'Ispettorato del lavoro, l'installazione di quelle apparecchiature rese necessarie da esigenze organizzative e produttive ovvero dalla sicurezza del lavoro, ma dalle quali derivi anche la possibilità di controllo a distanza dell'attività dei lavoratori.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Le richiamate disposizioni fanno parte di quella complessa normativa diretta a regolamentare le manifestazioni del potere organizzativo e direttivo del datore di lavoro che, per le modalità di attuazione incidenti nella sfera della persona, si ritengono lesive della dignità e della riservatezza del lavoratore.</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La garanzia procedurale prevista per impianti ed apparecchiature ricollegabili ad esigenze produttive contempera l'esigenza di tutela del diritto dei lavoratori a non essere controllati a distanza e quello del datore di lavoro o, se si vuole, della stessa collettività, relativamente alla </w:t>
      </w:r>
      <w:r w:rsidRPr="00341BA1">
        <w:rPr>
          <w:rFonts w:ascii="Times New Roman" w:eastAsiaTheme="minorEastAsia" w:hAnsi="Times New Roman" w:cs="Times New Roman"/>
          <w:sz w:val="24"/>
          <w:szCs w:val="24"/>
          <w:lang w:eastAsia="it-IT"/>
        </w:rPr>
        <w:lastRenderedPageBreak/>
        <w:t>organizzazione, produzione e sicurezza del lavoro, individuando una precisa procedura esecutiva e gli stessi soggetti ad essa partecipi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n. 15982 del 2007).</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La possibilità di effettuare tali controlli incontra un limite nel diritto alla riservatezza del dipendente, tanto che anche l'esigenza di evitare condotte illecite dei dipendenti non può assumere portata tale da giustificare un sostanziale annullamento di ogni forma di garanzia della dignità e riservatezza del lavoratore (cfr.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4375 del 2010).</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4.2. La giurisprudenza di legittimità è intervenuta più volte sull'applicazione di detta disposizione, modificando il proprio iniziale orientamento, ed affermando i seguenti principi di diritto.</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Con la sentenza n. 4746 del 2002 si era statuito che, ai fini dell'operatività del divieto di utilizzo di apparecchiature per il controllo a distanza dell'attività dei lavoratori, era necessario che il controllo riguardasse (direttamente o indirettamente) l'attività lavorativa, mentre dovevano ritenersi certamente fuori dell'ambito di applicazione della norma i controlli diretti ad accertare condotte illecite del lavoratore, c.d. controlli difensivi.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Tale giurisprudenza, quindi escludeva, i c.d. controlli difensivi, dall'ambito di applicazione dell'art. 4, comma 2.</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Con la successiva pronuncia n. 15892 del 2007, volta a sostanziare l'effettività del divieto di cui all'art. 4, comma 1, cit. si è poi affermato che il riferimento all'attività lavorativa, oggetto della fattispecie astratta, non riguardava solo le modalità del suo svolgimento, ma anche il quantum della prestazione, il controllo sull'orario di lavoro, risolvendosi in un accertamento circa quantità di lavoro svolto.</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Si è poi statuito, correggendo l'impostazione sopra richiamata di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n. 4746 del 2002, che riteneva in ogni caso legittimi i c.d. controlli difensivi, che l'insopprimibile esigenza di evitare condotte illecite da parte dei dipendenti non può assumere portata tale da giustificare un sostanziale annullamento di ogni forma di garanzia della dignità e riservatezza del lavoratore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15982 del 2007).</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In tema di controllo del lavoratore, le garanzie procedurali imposte dalla L. n. 300 del 1970, art. 4, comma 2 (espressamente richiamato anche dal D.Lgs. n. 196 del 2003, art. 114 e non modificato dalla L. n. 547 del 1993, art. 4, che ha introdotto il reato di cui all'art. 615-ter c.p.) per l'installazione di impianti ed apparecchiature di controllo richiesti da esigenze organizzative e produttive ovvero dalla sicurezza del lavoro, ma dai quali derivi anche la possibilità di controllo a distanza dell'attività dei lavoratori, trovano applicazione anche ai controlli c.d. difensivi, ovverosia a quei controlli diretti ad accertare comportamenti illeciti dei lavoratori, quando tali comportamenti riguardino l'esatto adempimento delle obbligazioni discendenti dal rapporto di lavoro e non la tutela dei beni estranei al rapporto stesso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n. 2722 del 2012, n. 4375 del 2010).</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4.3. Così richiamato il quadro normativo e giurisprudenziale occorre precisare che il giudice di merito ha ritenuto che il sistema informatico </w:t>
      </w:r>
      <w:proofErr w:type="spellStart"/>
      <w:r w:rsidRPr="00341BA1">
        <w:rPr>
          <w:rFonts w:ascii="Times New Roman" w:eastAsiaTheme="minorEastAsia" w:hAnsi="Times New Roman" w:cs="Times New Roman"/>
          <w:sz w:val="24"/>
          <w:szCs w:val="24"/>
          <w:lang w:eastAsia="it-IT"/>
        </w:rPr>
        <w:t>Bluès</w:t>
      </w:r>
      <w:proofErr w:type="spellEnd"/>
      <w:r w:rsidRPr="00341BA1">
        <w:rPr>
          <w:rFonts w:ascii="Times New Roman" w:eastAsiaTheme="minorEastAsia" w:hAnsi="Times New Roman" w:cs="Times New Roman"/>
          <w:sz w:val="24"/>
          <w:szCs w:val="24"/>
          <w:lang w:eastAsia="it-IT"/>
        </w:rPr>
        <w:t xml:space="preserve"> 2002 non fosse in contrasto con l'art. 4 dello statuto dei lavoratori per un duplice ordine di ragioni.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In primo luogo, </w:t>
      </w:r>
      <w:proofErr w:type="spellStart"/>
      <w:r w:rsidRPr="00341BA1">
        <w:rPr>
          <w:rFonts w:ascii="Times New Roman" w:eastAsiaTheme="minorEastAsia" w:hAnsi="Times New Roman" w:cs="Times New Roman"/>
          <w:sz w:val="24"/>
          <w:szCs w:val="24"/>
          <w:lang w:eastAsia="it-IT"/>
        </w:rPr>
        <w:t>perchè</w:t>
      </w:r>
      <w:proofErr w:type="spellEnd"/>
      <w:r w:rsidRPr="00341BA1">
        <w:rPr>
          <w:rFonts w:ascii="Times New Roman" w:eastAsiaTheme="minorEastAsia" w:hAnsi="Times New Roman" w:cs="Times New Roman"/>
          <w:sz w:val="24"/>
          <w:szCs w:val="24"/>
          <w:lang w:eastAsia="it-IT"/>
        </w:rPr>
        <w:t xml:space="preserve"> la circostanza che a seguito del c.d. controllo difensivo a cui era finalizzato il suddetto sistema informatico, risultasse l'inesatto adempimento della prestazione di lavoro del lavoratore non è che una conseguenza indiretta dell'illecito che il datore di lavoro ha diritto di controllare proprio nella forma del c.d. controllo difensivo.</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In secondo luogo, </w:t>
      </w:r>
      <w:proofErr w:type="spellStart"/>
      <w:r w:rsidRPr="00341BA1">
        <w:rPr>
          <w:rFonts w:ascii="Times New Roman" w:eastAsiaTheme="minorEastAsia" w:hAnsi="Times New Roman" w:cs="Times New Roman"/>
          <w:sz w:val="24"/>
          <w:szCs w:val="24"/>
          <w:lang w:eastAsia="it-IT"/>
        </w:rPr>
        <w:t>perchè</w:t>
      </w:r>
      <w:proofErr w:type="spellEnd"/>
      <w:r w:rsidRPr="00341BA1">
        <w:rPr>
          <w:rFonts w:ascii="Times New Roman" w:eastAsiaTheme="minorEastAsia" w:hAnsi="Times New Roman" w:cs="Times New Roman"/>
          <w:sz w:val="24"/>
          <w:szCs w:val="24"/>
          <w:lang w:eastAsia="it-IT"/>
        </w:rPr>
        <w:t xml:space="preserve"> anche la rilevazione di telefonate ingiustificate mira ad evitare illeciti e ben può con la scoperta dell'illecito emergere il relativo inadempimento contrattuale, se ciò che è vietato è solo il controllo sull'orario di lavoro e sul "quantum" della prestazione, e non già sugli illeciti comportamenti dei dipendenti.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4.4. Dette statuizioni della Corte d'Appello non fanno corretta e congrua applicazione dei principi di diritto di cui alla sentenza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n. 4375 del 2010, sopra richiamata ai quali si intende dare continuità.</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Ed infatti, l'effettività del divieto di controllo a distanza dell'attività dei lavoratori richiede che anche per i c.d. controlli difensivi trovino applicazione le garanzie del citato art. 4, secondo comma, </w:t>
      </w:r>
      <w:r w:rsidRPr="00341BA1">
        <w:rPr>
          <w:rFonts w:ascii="Times New Roman" w:eastAsiaTheme="minorEastAsia" w:hAnsi="Times New Roman" w:cs="Times New Roman"/>
          <w:sz w:val="24"/>
          <w:szCs w:val="24"/>
          <w:lang w:eastAsia="it-IT"/>
        </w:rPr>
        <w:lastRenderedPageBreak/>
        <w:t>e che, comunque, quest'ultimi, così come la altre fattispecie di controllo ivi previste, non si traducano in forme surrettizie di controllo a distanza dell'attività lavorativa dei lavoratori.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Se per l'esigenza di evitare attività illecite o per motivi organizzativi o produttivi, possono essere installati impianti ed apparecchiature di controllo che rilevino dati relativi anche alla attività lavorativa dei lavoratori, la previsione che siano osservate le garanzie procedurali di cui all'art. 4, comma 2, non consente che attraverso tali strumenti, sia pure adottati in esito alla concertazione con le </w:t>
      </w:r>
      <w:proofErr w:type="spellStart"/>
      <w:r w:rsidRPr="00341BA1">
        <w:rPr>
          <w:rFonts w:ascii="Times New Roman" w:eastAsiaTheme="minorEastAsia" w:hAnsi="Times New Roman" w:cs="Times New Roman"/>
          <w:sz w:val="24"/>
          <w:szCs w:val="24"/>
          <w:lang w:eastAsia="it-IT"/>
        </w:rPr>
        <w:t>r.s.a</w:t>
      </w:r>
      <w:proofErr w:type="spellEnd"/>
      <w:r w:rsidRPr="00341BA1">
        <w:rPr>
          <w:rFonts w:ascii="Times New Roman" w:eastAsiaTheme="minorEastAsia" w:hAnsi="Times New Roman" w:cs="Times New Roman"/>
          <w:sz w:val="24"/>
          <w:szCs w:val="24"/>
          <w:lang w:eastAsia="it-IT"/>
        </w:rPr>
        <w:t>., si possa porre in essere, anche se quale conseguenza mediata, un controllo a distanza dei lavoratori che, giova ribadirlo, è vietato dall'art. 4, comma 1, cit..</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Il divieto di controlli a distanza ex art. 4, della L. n. 300 del 1970, implica, dunque, che i controlli difensivi posti in essere con il sistema informatico </w:t>
      </w:r>
      <w:proofErr w:type="spellStart"/>
      <w:r w:rsidRPr="00341BA1">
        <w:rPr>
          <w:rFonts w:ascii="Times New Roman" w:eastAsiaTheme="minorEastAsia" w:hAnsi="Times New Roman" w:cs="Times New Roman"/>
          <w:sz w:val="24"/>
          <w:szCs w:val="24"/>
          <w:lang w:eastAsia="it-IT"/>
        </w:rPr>
        <w:t>Bluès</w:t>
      </w:r>
      <w:proofErr w:type="spellEnd"/>
      <w:r w:rsidRPr="00341BA1">
        <w:rPr>
          <w:rFonts w:ascii="Times New Roman" w:eastAsiaTheme="minorEastAsia" w:hAnsi="Times New Roman" w:cs="Times New Roman"/>
          <w:sz w:val="24"/>
          <w:szCs w:val="24"/>
          <w:lang w:eastAsia="it-IT"/>
        </w:rPr>
        <w:t xml:space="preserve"> 2002, ricadono nell'ambito della L. n. 300 del 1970, art. 4, comma 2, e, fermo il rispetto delle garanzie procedurali previste, non possono </w:t>
      </w:r>
      <w:proofErr w:type="spellStart"/>
      <w:r w:rsidRPr="00341BA1">
        <w:rPr>
          <w:rFonts w:ascii="Times New Roman" w:eastAsiaTheme="minorEastAsia" w:hAnsi="Times New Roman" w:cs="Times New Roman"/>
          <w:sz w:val="24"/>
          <w:szCs w:val="24"/>
          <w:lang w:eastAsia="it-IT"/>
        </w:rPr>
        <w:t>impingere</w:t>
      </w:r>
      <w:proofErr w:type="spellEnd"/>
      <w:r w:rsidRPr="00341BA1">
        <w:rPr>
          <w:rFonts w:ascii="Times New Roman" w:eastAsiaTheme="minorEastAsia" w:hAnsi="Times New Roman" w:cs="Times New Roman"/>
          <w:sz w:val="24"/>
          <w:szCs w:val="24"/>
          <w:lang w:eastAsia="it-IT"/>
        </w:rPr>
        <w:t xml:space="preserve"> la sfera della prestazione lavorativa dei singoli lavoratori; qualora interferenze con quest'ultima vi siano, e non siano stati adottati dal datore di lavoro sistemi di filtraggio delle telefonate per non consentire, in ragione della previsione dell'art. 4, comma 1, di risalire all'identità del lavoratore, i relativi dati non possono essere utilizzati per provare l' inadempimento contrattuale del lavoratore medesimo.</w:t>
      </w: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5. Il ricorso, quindi, deve essere accolto con riguardo al secondo e al terzo motivo di impugnazione, rigettato il primo. Cassa la sentenza impugnata e rinvia anche per le spese del presente giudizio alla Corte d'Appello di Roma in diversa composizione, che si atterrà ai suddetti principi di diritto.</w:t>
      </w:r>
    </w:p>
    <w:p w:rsidR="00341BA1" w:rsidRPr="00341BA1" w:rsidRDefault="00341BA1" w:rsidP="00341BA1">
      <w:pPr>
        <w:spacing w:after="0" w:line="240" w:lineRule="auto"/>
        <w:rPr>
          <w:rFonts w:ascii="Times New Roman" w:eastAsia="Times New Roman" w:hAnsi="Times New Roman" w:cs="Times New Roman"/>
          <w:sz w:val="24"/>
          <w:szCs w:val="24"/>
          <w:lang w:eastAsia="it-IT"/>
        </w:rPr>
      </w:pPr>
    </w:p>
    <w:p w:rsidR="00341BA1" w:rsidRPr="00341BA1" w:rsidRDefault="00341BA1" w:rsidP="00341BA1">
      <w:pPr>
        <w:spacing w:after="0" w:line="240" w:lineRule="auto"/>
        <w:jc w:val="center"/>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pict>
          <v:rect id="_x0000_i1025" style="width:481.9pt;height:1.5pt" o:hralign="center" o:hrstd="t" o:hr="t" fillcolor="#a0a0a0" stroked="f"/>
        </w:pict>
      </w:r>
    </w:p>
    <w:p w:rsidR="00341BA1" w:rsidRPr="00341BA1" w:rsidRDefault="00341BA1" w:rsidP="00341BA1">
      <w:pPr>
        <w:spacing w:after="0" w:line="240" w:lineRule="auto"/>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Autorità:</w:t>
      </w:r>
      <w:r w:rsidRPr="00341BA1">
        <w:rPr>
          <w:rFonts w:ascii="Times New Roman" w:eastAsia="Times New Roman" w:hAnsi="Times New Roman" w:cs="Times New Roman"/>
          <w:sz w:val="24"/>
          <w:szCs w:val="24"/>
          <w:lang w:eastAsia="it-IT"/>
        </w:rPr>
        <w:t xml:space="preserve"> Cassazione civile sez. lav. </w:t>
      </w:r>
      <w:r w:rsidRPr="00341BA1">
        <w:rPr>
          <w:rFonts w:ascii="Times New Roman" w:eastAsia="Times New Roman" w:hAnsi="Times New Roman" w:cs="Times New Roman"/>
          <w:b/>
          <w:bCs/>
          <w:sz w:val="24"/>
          <w:szCs w:val="24"/>
          <w:lang w:eastAsia="it-IT"/>
        </w:rPr>
        <w:t>Data:</w:t>
      </w:r>
      <w:r w:rsidRPr="00341BA1">
        <w:rPr>
          <w:rFonts w:ascii="Times New Roman" w:eastAsia="Times New Roman" w:hAnsi="Times New Roman" w:cs="Times New Roman"/>
          <w:sz w:val="24"/>
          <w:szCs w:val="24"/>
          <w:lang w:eastAsia="it-IT"/>
        </w:rPr>
        <w:t xml:space="preserve"> 17/05/2013 </w:t>
      </w:r>
      <w:r w:rsidRPr="00341BA1">
        <w:rPr>
          <w:rFonts w:ascii="Times New Roman" w:eastAsia="Times New Roman" w:hAnsi="Times New Roman" w:cs="Times New Roman"/>
          <w:b/>
          <w:bCs/>
          <w:sz w:val="24"/>
          <w:szCs w:val="24"/>
          <w:lang w:eastAsia="it-IT"/>
        </w:rPr>
        <w:t>Numero:</w:t>
      </w:r>
      <w:r w:rsidRPr="00341BA1">
        <w:rPr>
          <w:rFonts w:ascii="Times New Roman" w:eastAsia="Times New Roman" w:hAnsi="Times New Roman" w:cs="Times New Roman"/>
          <w:sz w:val="24"/>
          <w:szCs w:val="24"/>
          <w:lang w:eastAsia="it-IT"/>
        </w:rPr>
        <w:t xml:space="preserve"> 12091</w:t>
      </w:r>
    </w:p>
    <w:p w:rsidR="00341BA1" w:rsidRPr="00341BA1" w:rsidRDefault="00341BA1" w:rsidP="00341BA1">
      <w:pPr>
        <w:spacing w:after="0" w:line="240" w:lineRule="auto"/>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Classificazioni:</w:t>
      </w:r>
      <w:r w:rsidRPr="00341BA1">
        <w:rPr>
          <w:rFonts w:ascii="Times New Roman" w:eastAsia="Times New Roman" w:hAnsi="Times New Roman" w:cs="Times New Roman"/>
          <w:sz w:val="24"/>
          <w:szCs w:val="24"/>
          <w:lang w:eastAsia="it-IT"/>
        </w:rPr>
        <w:t xml:space="preserve"> LAVORO SUBORDINATO (Rapporto di) - Diritti e doveri delle parti - - impianti e strumenti di controllo a distanza dell'attività dei lavoratori </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br/>
        <w:t xml:space="preserve">SVOLGIMENTO DEL PROCESSO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Presupposto della presente controversia è la condanna (in via definitiva) in sede penale di alcuni dipendenti del Casinò municipale di Sanremo per furto aggravato; in sede civile nel presente processo si discute del risarcimento dei danni derivati da tale condotta al Casinò di Sanremo. Il Tribunale con sentenza del 8.11.2004 ha quantificato i danni risarcibili solo nelle somme accertate in sede penale per le quali era intervenuta la sottrazione.</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La Corte di appello di Genova con sentenza del 16.5.2007, in parziale riforma della sentenza di primo grado ed in parziale accoglimento dell'appello proposto dalla Gestione stralcio del Casinò municipale di Sanremo, condannava l' A.S. ed il B.G. (ed un altro lavoratore non ricorrente, </w:t>
      </w:r>
      <w:proofErr w:type="spellStart"/>
      <w:r w:rsidRPr="00341BA1">
        <w:rPr>
          <w:rFonts w:ascii="Times New Roman" w:eastAsiaTheme="minorEastAsia" w:hAnsi="Times New Roman" w:cs="Times New Roman"/>
          <w:sz w:val="24"/>
          <w:szCs w:val="24"/>
          <w:lang w:eastAsia="it-IT"/>
        </w:rPr>
        <w:t>Bo.Lu</w:t>
      </w:r>
      <w:proofErr w:type="spellEnd"/>
      <w:r w:rsidRPr="00341BA1">
        <w:rPr>
          <w:rFonts w:ascii="Times New Roman" w:eastAsiaTheme="minorEastAsia" w:hAnsi="Times New Roman" w:cs="Times New Roman"/>
          <w:sz w:val="24"/>
          <w:szCs w:val="24"/>
          <w:lang w:eastAsia="it-IT"/>
        </w:rPr>
        <w:t xml:space="preserve">.) a corrispondere l'ulteriore somma di Euro 20.000,00 ciascuno a titolo di lesione dell'immagine e della reputazione del Casinò compromessa dalla diffusione di notizie circa furti ad opera di dipendenti del Casinò con perdita di credibilità della società, con particolare riferimento alla capacità organizzativa e gestionale del Casinò in relazione alla possibile alterazione delle regole del gioco da parte di dipendenti infedeli, ma selezionati dalla stessa società. </w:t>
      </w: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Si osservava che la responsabilità era stata accertata in sede penale e che era applicabile alla fattispecie l'art. 651 c.p.p. che non limitava l'autorità del giudicato penale in sede civile ai casi in cui la legge civile non ponga limitazioni alla prova del diritto controverso. L'invocato articolo 654 c.p. - ha specificato la Corte territoriale - ha per oggetto l'efficacia del giudicato penale nei giudizi civili o amministrativi diversi da quelli in cui si richieda il risarcimento del danno conseguente ai fatti oggetto del processo penale, ipotesi quest'ultima che è invece regolata dall'art. 651 c.p.c.. Pertanto non poteva opporsi che la prova fosse stata raggiunta violando l'art. 4 dello Statuto dei lavoratori attraverso telecamere che avevano sorpreso i dipendenti infedeli. In ogni caso l'art. 4 dello Statuto non opera per i controlli cosiddetti difensivi alla luce dell'orientamento della giurisprudenza di legittimità e, comunque, non era stato il datore di lavoro a sistemare le telecamere, ma la polizia giudiziaria, nel corso dell'istruttoria penale. </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lastRenderedPageBreak/>
        <w:t xml:space="preserve"> </w:t>
      </w:r>
      <w:r w:rsidRPr="00341BA1">
        <w:rPr>
          <w:rFonts w:ascii="Times New Roman" w:eastAsia="Times New Roman" w:hAnsi="Times New Roman" w:cs="Times New Roman"/>
          <w:sz w:val="24"/>
          <w:szCs w:val="24"/>
          <w:lang w:eastAsia="it-IT"/>
        </w:rPr>
        <w:br/>
        <w:t xml:space="preserve">MOTIVI DELLA DECISIONE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Con il secondo motivo si allega la violazione, falsa applicazione dell'art. 651 c.p.p. e dell'art. 654 c.p.p. per avere ricondotto la fattispecie di danno contrattuale al danno extracontrattuale. La fattispecie era regolata dall'art. 654 c.p.p. che pone limiti all'utilizzabilità della prova raccolta in sede penale in sede civile.</w:t>
      </w: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Il motivo appare infondato. Si mira ad affermare, ex art. 654 c.p.p., la non utilizzabilità della prova emersa in sede penale anche in sede civile posto che l'art. 4 dello Statuto dei lavoratori precluderebbe al datore di lavoro di riprendere i dipendenti nell'attività di lavoro. Sul punto la Corte di appello ha già osservato che l'art. 4 dello Statuto dei lavoratori è rivolto al datore di lavoro, ma non alla polizia giudiziaria per iniziativa della quale sono state effettuate le riprese (pag. 15 della sentenza impugnata); inoltre per giurisprudenza costante (richiamata dai giudici di appello di questa Corte sono, comunque, ammissibili i controlli (ex art. 4 Statuto dei lavoratori) </w:t>
      </w:r>
      <w:proofErr w:type="spellStart"/>
      <w:r w:rsidRPr="00341BA1">
        <w:rPr>
          <w:rFonts w:ascii="Times New Roman" w:eastAsiaTheme="minorEastAsia" w:hAnsi="Times New Roman" w:cs="Times New Roman"/>
          <w:sz w:val="24"/>
          <w:szCs w:val="24"/>
          <w:lang w:eastAsia="it-IT"/>
        </w:rPr>
        <w:t>cosidetti</w:t>
      </w:r>
      <w:proofErr w:type="spellEnd"/>
      <w:r w:rsidRPr="00341BA1">
        <w:rPr>
          <w:rFonts w:ascii="Times New Roman" w:eastAsiaTheme="minorEastAsia" w:hAnsi="Times New Roman" w:cs="Times New Roman"/>
          <w:sz w:val="24"/>
          <w:szCs w:val="24"/>
          <w:lang w:eastAsia="it-IT"/>
        </w:rPr>
        <w:t xml:space="preserve"> difensivi e cioè rivolti a prevenire illeciti di natura penale o pregiudizi al patrimonio aziendale. Inoltre certamente il giudicato in sede penale fa stato in questa sede posto che emerge dalla sentenza impugnata (p. 12) che la sentenza penale di prime cure (poi confermata nei successivi gradi del giudizio) ha condannato gli attuali ricorrenti al risarcimento dei danni in favore della costituita parte civile (l'attuale resistente) da liquidarsi in separata sede, per cui nel presente procedimento non può che discutersi della sola entità dei danni provocati al Casinò di Sanremo, non della responsabilità dei ricorrenti.</w:t>
      </w:r>
    </w:p>
    <w:p w:rsidR="00341BA1" w:rsidRPr="00341BA1" w:rsidRDefault="00341BA1" w:rsidP="00341BA1">
      <w:pPr>
        <w:spacing w:after="0" w:line="240" w:lineRule="auto"/>
        <w:jc w:val="center"/>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pict>
          <v:rect id="_x0000_i1026" style="width:481.9pt;height:1.5pt" o:hralign="center" o:hrstd="t" o:hr="t" fillcolor="#a0a0a0" stroked="f"/>
        </w:pict>
      </w:r>
    </w:p>
    <w:p w:rsidR="00341BA1" w:rsidRPr="00341BA1" w:rsidRDefault="00341BA1" w:rsidP="00341BA1">
      <w:pPr>
        <w:spacing w:after="0" w:line="240" w:lineRule="auto"/>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Autorità:</w:t>
      </w:r>
      <w:r w:rsidRPr="00341BA1">
        <w:rPr>
          <w:rFonts w:ascii="Times New Roman" w:eastAsia="Times New Roman" w:hAnsi="Times New Roman" w:cs="Times New Roman"/>
          <w:sz w:val="24"/>
          <w:szCs w:val="24"/>
          <w:lang w:eastAsia="it-IT"/>
        </w:rPr>
        <w:t xml:space="preserve"> Cassazione civile sez. lav. </w:t>
      </w:r>
      <w:r w:rsidRPr="00341BA1">
        <w:rPr>
          <w:rFonts w:ascii="Times New Roman" w:eastAsia="Times New Roman" w:hAnsi="Times New Roman" w:cs="Times New Roman"/>
          <w:b/>
          <w:bCs/>
          <w:sz w:val="24"/>
          <w:szCs w:val="24"/>
          <w:lang w:eastAsia="it-IT"/>
        </w:rPr>
        <w:t>Data:</w:t>
      </w:r>
      <w:r w:rsidRPr="00341BA1">
        <w:rPr>
          <w:rFonts w:ascii="Times New Roman" w:eastAsia="Times New Roman" w:hAnsi="Times New Roman" w:cs="Times New Roman"/>
          <w:sz w:val="24"/>
          <w:szCs w:val="24"/>
          <w:lang w:eastAsia="it-IT"/>
        </w:rPr>
        <w:t xml:space="preserve"> 23/02/2012 </w:t>
      </w:r>
      <w:r w:rsidRPr="00341BA1">
        <w:rPr>
          <w:rFonts w:ascii="Times New Roman" w:eastAsia="Times New Roman" w:hAnsi="Times New Roman" w:cs="Times New Roman"/>
          <w:b/>
          <w:bCs/>
          <w:sz w:val="24"/>
          <w:szCs w:val="24"/>
          <w:lang w:eastAsia="it-IT"/>
        </w:rPr>
        <w:t>Numero:</w:t>
      </w:r>
      <w:r w:rsidRPr="00341BA1">
        <w:rPr>
          <w:rFonts w:ascii="Times New Roman" w:eastAsia="Times New Roman" w:hAnsi="Times New Roman" w:cs="Times New Roman"/>
          <w:sz w:val="24"/>
          <w:szCs w:val="24"/>
          <w:lang w:eastAsia="it-IT"/>
        </w:rPr>
        <w:t xml:space="preserve"> 2722</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t xml:space="preserve">SVOLGIMENTO DEL PROCESSO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1.- Con ricorso al giudice del lavoro di Brescia, B.A. impugnava il licenziamento per giusta causa irrogatogli in data 15.03.04 da Bipop-Carire </w:t>
      </w:r>
      <w:proofErr w:type="spellStart"/>
      <w:r w:rsidRPr="00341BA1">
        <w:rPr>
          <w:rFonts w:ascii="Times New Roman" w:eastAsiaTheme="minorEastAsia" w:hAnsi="Times New Roman" w:cs="Times New Roman"/>
          <w:sz w:val="24"/>
          <w:szCs w:val="24"/>
          <w:lang w:eastAsia="it-IT"/>
        </w:rPr>
        <w:t>s.p.a.</w:t>
      </w:r>
      <w:proofErr w:type="spellEnd"/>
      <w:r w:rsidRPr="00341BA1">
        <w:rPr>
          <w:rFonts w:ascii="Times New Roman" w:eastAsiaTheme="minorEastAsia" w:hAnsi="Times New Roman" w:cs="Times New Roman"/>
          <w:sz w:val="24"/>
          <w:szCs w:val="24"/>
          <w:lang w:eastAsia="it-IT"/>
        </w:rPr>
        <w:t xml:space="preserve">, della quale era stata dipendente con qualifica di quadro direttivo e mansioni di addetto all'ufficio </w:t>
      </w:r>
      <w:proofErr w:type="spellStart"/>
      <w:r w:rsidRPr="00341BA1">
        <w:rPr>
          <w:rFonts w:ascii="Times New Roman" w:eastAsiaTheme="minorEastAsia" w:hAnsi="Times New Roman" w:cs="Times New Roman"/>
          <w:sz w:val="24"/>
          <w:szCs w:val="24"/>
          <w:lang w:eastAsia="it-IT"/>
        </w:rPr>
        <w:t>Advisory</w:t>
      </w:r>
      <w:proofErr w:type="spellEnd"/>
      <w:r w:rsidRPr="00341BA1">
        <w:rPr>
          <w:rFonts w:ascii="Times New Roman" w:eastAsiaTheme="minorEastAsia" w:hAnsi="Times New Roman" w:cs="Times New Roman"/>
          <w:sz w:val="24"/>
          <w:szCs w:val="24"/>
          <w:lang w:eastAsia="it-IT"/>
        </w:rPr>
        <w:t xml:space="preserve"> Center, in quanto accusato di aver divulgato a mezzo di messaggi di posta elettronica diretti ad estranei notizie riservate concernenti un cliente dell'Istituto e di aver posto in essere, grazie alle notizie in questione, operazioni finanziarie da cui aveva tratto vantaggio personale.</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3.- Il giudice, considerata tempestiva la contestazione, riteneva non contrastante con l'art. 4 dello statuto dei lavoratori il controllo della posta elettronica del dipendente, in quanto diretto ad accertare ex post una condotta attuata in violazione degli obblighi fondamentali di fedeltà e riservatezza e postasi in contrasto con l'interesse del datore. Quanto al merito, rilevava che il B., con piena consapevolezza soggettiva, aveva violato l'obbligo di segretezza e correttezza dei dipendenti, fissato dall'art. 2104 c.c., dal regolamento interno e dal codice deontologico, ponendo in essere un comportamento di indubbia gravità, particolarmente lesivo dell'elemento fiduciario, in quanto il suo comportamento nasceva da un abuso della sua elevata posizione professionale.</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t xml:space="preserve">MOTIVI DELLA DECISIONE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6.- Con il primo motivo è dedotta violazione della L. 20 maggio 1970, n. 300, art. 4, che vieta l'uso degli impianti audiovisivi e delle altre apparecchiature aventi finalità di controllo a distanza dell'attività lavorativa (comma 1) e disciplina le modalità di adozione di impianti ed apparecchiature di controllo che siano richiesti da esigenze organizzative e produttive o dalla sicurezza del lavoro, dai quali può derivare la possibilità di controllo a distanza dei lavoratori (comma 2).</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In particolare, la sentenza è contestata nella parte in cui ha ritenuto legittimo il controllo effettuato dal datore sulla posta elettronica aziendale del dipendente, in quanto, non essendo al riguardo regolata alcuna modalità specifica di monitoraggio, tale controllo si porrebbe in contrasto non solo con la norma dello statuto dei lavoratori, ma anche con il D.Lgs. n. 196 del 2003, art. 114, in </w:t>
      </w:r>
      <w:r w:rsidRPr="00341BA1">
        <w:rPr>
          <w:rFonts w:ascii="Times New Roman" w:eastAsiaTheme="minorEastAsia" w:hAnsi="Times New Roman" w:cs="Times New Roman"/>
          <w:sz w:val="24"/>
          <w:szCs w:val="24"/>
          <w:lang w:eastAsia="it-IT"/>
        </w:rPr>
        <w:lastRenderedPageBreak/>
        <w:t>materia di salvaguardia dei dati personali, che per quanto riguarda la riservatezza del lavoratore negli ambienti aziendali lascia fermo quanto previsto dall'art. 4 suddetto.</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7.- L'art. 4 dello statuto dei lavoratori vieta le apparecchiature di controllo a distanza e subordina ad accordo con le </w:t>
      </w:r>
      <w:proofErr w:type="spellStart"/>
      <w:r w:rsidRPr="00341BA1">
        <w:rPr>
          <w:rFonts w:ascii="Times New Roman" w:eastAsiaTheme="minorEastAsia" w:hAnsi="Times New Roman" w:cs="Times New Roman"/>
          <w:sz w:val="24"/>
          <w:szCs w:val="24"/>
          <w:lang w:eastAsia="it-IT"/>
        </w:rPr>
        <w:t>r.s.a</w:t>
      </w:r>
      <w:proofErr w:type="spellEnd"/>
      <w:r w:rsidRPr="00341BA1">
        <w:rPr>
          <w:rFonts w:ascii="Times New Roman" w:eastAsiaTheme="minorEastAsia" w:hAnsi="Times New Roman" w:cs="Times New Roman"/>
          <w:sz w:val="24"/>
          <w:szCs w:val="24"/>
          <w:lang w:eastAsia="it-IT"/>
        </w:rPr>
        <w:t>. o a specifiche disposizioni dell'Ispettorato del Lavoro l'installazione di quelle apparecchiature, rese necessarie da esigenze organizzative e produttive, da cui può derivare la possibilità di controllo.</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La giurisprudenza di questa Corte ritiene che detto art. 4 "fa parte di quella complessa normativa diretta a contenere in vario modo le manifestazioni del potere organizzativo e direttivo del datore di lavoro che, per le modalità di attuazione incidenti nella sfera della persona, si ritengono lesive della dignità e della riservatezza del lavoratore.... sul presupposto - espressamente precisato nella Relazione ministeriale - che la vigilanza sul lavoro, </w:t>
      </w:r>
      <w:proofErr w:type="spellStart"/>
      <w:r w:rsidRPr="00341BA1">
        <w:rPr>
          <w:rFonts w:ascii="Times New Roman" w:eastAsiaTheme="minorEastAsia" w:hAnsi="Times New Roman" w:cs="Times New Roman"/>
          <w:sz w:val="24"/>
          <w:szCs w:val="24"/>
          <w:lang w:eastAsia="it-IT"/>
        </w:rPr>
        <w:t>ancorchè</w:t>
      </w:r>
      <w:proofErr w:type="spellEnd"/>
      <w:r w:rsidRPr="00341BA1">
        <w:rPr>
          <w:rFonts w:ascii="Times New Roman" w:eastAsiaTheme="minorEastAsia" w:hAnsi="Times New Roman" w:cs="Times New Roman"/>
          <w:sz w:val="24"/>
          <w:szCs w:val="24"/>
          <w:lang w:eastAsia="it-IT"/>
        </w:rPr>
        <w:t xml:space="preserve"> necessaria nell'organizzazione produttiva, vada mantenuta in una dimensione umana, e cioè non esasperata dall'uso di tecnologie che possono rendere la vigilanza stessa continua e anelastica, eliminando ogni zona di riservatezza e di autonomia nello svolgimento del lavoro"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17.07.07 n. 15982). La garanzia procedurale prevista per impianti ed apparecchiature ricollegabili ad esigenze produttive contempera "l'esigenza di tutela del diritto dei lavoratori a non essere controllati a distanza e quello del datore di lavoro, o, se si vuole, della stessa collettività, relativamente alla organizzazione, produzione e sicurezza del lavoro, individuando una precisa procedura esecutiva e gli stessi soggetti ad essa partecipi" (ivi).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La possibilità di tali controlli si ferma, dunque, dinanzi al diritto alla riservatezza del dipendente, al punto che la pur insopprimibile esigenza di evitare condotte illecite da parte dei dipendenti "non può assumere portata tale da giustificare un sostanziale annullamento di ogni forma di garanzia della dignità e riservatezza del lavoratore. Tale esigenza... non consente di espungere dalla fattispecie astratta i casi dei c.d. controlli difensivi ossia di quei controlli diretti ad accertare comportamenti illeciti dei lavoratori quando tali comportamenti riguardino...l'esatto adempimento delle obbligazioni discendenti dal rapporto di lavoro e non la tutela di beni estranei al rapporto stesso ove la sorveglianza venga attuata mediante strumenti che presentano quei requisiti strutturali e quelle potenzialità lesive, la cui utilizzazione è subordinata al previo accordo con il sindacato o all'intervento dell'Ispettorato del lavoro" (ivi). In tale ipotesi, è stato precisato, si tratta di "un controllo ed. preterintenzionale che rientra nella previsione del divieto flessibile di cui all'art. 4, comma 2"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23.02.10 n. 4375), così correggendosi una precedente impostazione che riteneva in ogni caso legittimi i c.d. controlli difensivi, a prescindere dal loro grado di invasività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3.04.02 n. 4746).</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In applicazione di questi principi, la giurisprudenza di questa Corte ha ritenuto correttamente motivata una sentenza di merito che aveva considerato alla stregua delle apparecchiature di controllo vietate (ove non fatte oggetto della procedura di validazione prevista dall'art. 4, e. 2) i programmi informatici che consentono il monitoraggio dei messaggi della posta elettronica aziendale e degli accessi Internet, ove per le loro caratteristiche consentano al datore di controllare a distanza ed in via continuativa durante la prestazione, l'attività lavorativa e il suo contenuto, per verificare se la stessa sia svolta in termini di diligenza e di corretto adempimento, sotto il profilo del rispetto delle direttive aziendali"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xml:space="preserve">. n. 4375 del 2010, cit.).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8.- Nel caso che oggi ci occupa, il giudice di merito non ha accertato quali siano state le concrete modalità attraverso le quali il datore di lavoro ha acquisito il testo dei messaggi di posta elettronica scambiati da B. con soggetti estranei al ristretto stretto ambito di diffusione delle notizie delle quali egli era in possesso, poi posti alla base della contestazione disciplinare. Lo stesso giudice, con incontestato accertamento di fatto, ha tuttavia affermato che il datore ha compiuto il suo accertamento ex post, ovvero dopo l'attuazione del comportamento addossato al dipendente, quando erano emersi elementi di fatto tali da raccomandare l'avvio di un'indagine retrospettiva.</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9.- Ad avviso del Collegio, tale fattispecie è estranea al campo di applicazione dell'art. 4 dello statuto dei lavoratori. Nel caso di specie, infatti, il datore di lavoro ha posto in essere una attività di controllo sulle strutture informatiche aziendali che prescindeva dalla pura e semplice sorveglianza sull'esecuzione della prestazione lavorativa degli addetti ed era, invece, diretta ad accertare la </w:t>
      </w:r>
      <w:r w:rsidRPr="00341BA1">
        <w:rPr>
          <w:rFonts w:ascii="Times New Roman" w:eastAsiaTheme="minorEastAsia" w:hAnsi="Times New Roman" w:cs="Times New Roman"/>
          <w:sz w:val="24"/>
          <w:szCs w:val="24"/>
          <w:lang w:eastAsia="it-IT"/>
        </w:rPr>
        <w:lastRenderedPageBreak/>
        <w:t>perpetrazione di eventuali comportamenti illeciti (poi effettivamente riscontrati) dagli stessi posti in essere. Il c.d. controllo difensivo, in altre parole, non riguardava l'esatto adempimento delle obbligazioni discendenti dal rapporto di lavoro, ma era destinato ad accertare un comportamento che poneva in pericolo la stessa immagine dell'Istituto bancario presso i terzi.</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In questo caso entrava in gioco il diritto del datore di lavoro di tutelare il proprio patrimonio, che era costituito non solo dal complesso dei beni aziendali, ma anche dalla propria immagine esterna, così come accreditata presso il pubblico. Questa forma di tutela egli poteva giuridicamente esercitare con gli strumenti derivanti dall'esercizio dei poteri derivanti dalla sua supremazia sulla struttura aziendale.</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Tale situazione, ad una lettura attenta, è già esclusa dal campo di applicazione dell'art. 4 dalla sopra citata giurisprudenza (che già esclude dai controlli difensivi vietati quelli aventi ad oggetto la tutela di beni estranei al rapporto di lavoro, v.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n. 15892 del 2007 cit.).</w:t>
      </w: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Il primo motivo di ricorso è dunque infondato, in quanto fu correttamente esercitato il potere di controllo attuato </w:t>
      </w:r>
      <w:proofErr w:type="spellStart"/>
      <w:r w:rsidRPr="00341BA1">
        <w:rPr>
          <w:rFonts w:ascii="Times New Roman" w:eastAsiaTheme="minorEastAsia" w:hAnsi="Times New Roman" w:cs="Times New Roman"/>
          <w:sz w:val="24"/>
          <w:szCs w:val="24"/>
          <w:lang w:eastAsia="it-IT"/>
        </w:rPr>
        <w:t>expost</w:t>
      </w:r>
      <w:proofErr w:type="spellEnd"/>
      <w:r w:rsidRPr="00341BA1">
        <w:rPr>
          <w:rFonts w:ascii="Times New Roman" w:eastAsiaTheme="minorEastAsia" w:hAnsi="Times New Roman" w:cs="Times New Roman"/>
          <w:sz w:val="24"/>
          <w:szCs w:val="24"/>
          <w:lang w:eastAsia="it-IT"/>
        </w:rPr>
        <w:t xml:space="preserve"> dal datore di lavoro.</w:t>
      </w:r>
    </w:p>
    <w:p w:rsidR="00341BA1" w:rsidRPr="00341BA1" w:rsidRDefault="00341BA1" w:rsidP="00341BA1">
      <w:pPr>
        <w:spacing w:after="0" w:line="240" w:lineRule="auto"/>
        <w:jc w:val="center"/>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pict>
          <v:rect id="_x0000_i1027" style="width:481.9pt;height:1.5pt" o:hralign="center" o:hrstd="t" o:hr="t" fillcolor="#a0a0a0" stroked="f"/>
        </w:pict>
      </w:r>
    </w:p>
    <w:p w:rsidR="00341BA1" w:rsidRPr="00341BA1" w:rsidRDefault="00341BA1" w:rsidP="00341BA1">
      <w:pPr>
        <w:spacing w:after="0" w:line="240" w:lineRule="auto"/>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Autorità:</w:t>
      </w:r>
      <w:r w:rsidRPr="00341BA1">
        <w:rPr>
          <w:rFonts w:ascii="Times New Roman" w:eastAsia="Times New Roman" w:hAnsi="Times New Roman" w:cs="Times New Roman"/>
          <w:sz w:val="24"/>
          <w:szCs w:val="24"/>
          <w:lang w:eastAsia="it-IT"/>
        </w:rPr>
        <w:t xml:space="preserve"> Cassazione civile sez. lav. </w:t>
      </w:r>
      <w:r w:rsidRPr="00341BA1">
        <w:rPr>
          <w:rFonts w:ascii="Times New Roman" w:eastAsia="Times New Roman" w:hAnsi="Times New Roman" w:cs="Times New Roman"/>
          <w:b/>
          <w:bCs/>
          <w:sz w:val="24"/>
          <w:szCs w:val="24"/>
          <w:lang w:eastAsia="it-IT"/>
        </w:rPr>
        <w:t>Data:</w:t>
      </w:r>
      <w:r w:rsidRPr="00341BA1">
        <w:rPr>
          <w:rFonts w:ascii="Times New Roman" w:eastAsia="Times New Roman" w:hAnsi="Times New Roman" w:cs="Times New Roman"/>
          <w:sz w:val="24"/>
          <w:szCs w:val="24"/>
          <w:lang w:eastAsia="it-IT"/>
        </w:rPr>
        <w:t xml:space="preserve"> 04/04/2012 </w:t>
      </w:r>
      <w:r w:rsidRPr="00341BA1">
        <w:rPr>
          <w:rFonts w:ascii="Times New Roman" w:eastAsia="Times New Roman" w:hAnsi="Times New Roman" w:cs="Times New Roman"/>
          <w:b/>
          <w:bCs/>
          <w:sz w:val="24"/>
          <w:szCs w:val="24"/>
          <w:lang w:eastAsia="it-IT"/>
        </w:rPr>
        <w:t>Numero:</w:t>
      </w:r>
      <w:r w:rsidRPr="00341BA1">
        <w:rPr>
          <w:rFonts w:ascii="Times New Roman" w:eastAsia="Times New Roman" w:hAnsi="Times New Roman" w:cs="Times New Roman"/>
          <w:sz w:val="24"/>
          <w:szCs w:val="24"/>
          <w:lang w:eastAsia="it-IT"/>
        </w:rPr>
        <w:t xml:space="preserve"> 5371</w:t>
      </w:r>
    </w:p>
    <w:p w:rsidR="00341BA1" w:rsidRPr="00341BA1" w:rsidRDefault="00341BA1" w:rsidP="00341BA1">
      <w:pPr>
        <w:spacing w:after="0" w:line="240" w:lineRule="auto"/>
        <w:rPr>
          <w:rFonts w:ascii="Times New Roman" w:eastAsia="Times New Roman" w:hAnsi="Times New Roman" w:cs="Times New Roman"/>
          <w:sz w:val="24"/>
          <w:szCs w:val="24"/>
          <w:lang w:eastAsia="it-IT"/>
        </w:rPr>
      </w:pPr>
      <w:r w:rsidRPr="00341BA1">
        <w:rPr>
          <w:rFonts w:ascii="Times New Roman" w:eastAsia="Times New Roman" w:hAnsi="Times New Roman" w:cs="Times New Roman"/>
          <w:b/>
          <w:bCs/>
          <w:sz w:val="24"/>
          <w:szCs w:val="24"/>
          <w:lang w:eastAsia="it-IT"/>
        </w:rPr>
        <w:t>Classificazioni:</w:t>
      </w:r>
      <w:r w:rsidRPr="00341BA1">
        <w:rPr>
          <w:rFonts w:ascii="Times New Roman" w:eastAsia="Times New Roman" w:hAnsi="Times New Roman" w:cs="Times New Roman"/>
          <w:sz w:val="24"/>
          <w:szCs w:val="24"/>
          <w:lang w:eastAsia="it-IT"/>
        </w:rPr>
        <w:t xml:space="preserve"> LAVORO SUBORDINATO (Rapporto di) - Diritti e doveri delle parti - - impianti e strumenti di controllo a distanza dell'attività dei lavoratori </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t xml:space="preserve">SVOLGIMENTO DEL PROCESSO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Con sentenza del 25.3.2009, la Corte di Appello di Lecce rigettava l'appello proposto da P.E. avverso la decisione di primo grado che aveva respinto la domanda del predetto, intesa ad ottenere la declaratoria di illegittimità del licenziamento intimatogli dall'istituto di vigilanza IVRI, per carenza della giusta causa e del giustificato motivo in riferimento a condotta consistita nell'avere effettuato, nel corso della sua attività di sorvegliante addetto all'ingresso nell'ospedale ss. (OMISSIS), una telefonata in data 16.12.2001, della complessiva durata di due ore, altre tre in data 23.12.2001, della complessiva durata di oltre un'ora, </w:t>
      </w:r>
      <w:proofErr w:type="spellStart"/>
      <w:r w:rsidRPr="00341BA1">
        <w:rPr>
          <w:rFonts w:ascii="Times New Roman" w:eastAsiaTheme="minorEastAsia" w:hAnsi="Times New Roman" w:cs="Times New Roman"/>
          <w:sz w:val="24"/>
          <w:szCs w:val="24"/>
          <w:lang w:eastAsia="it-IT"/>
        </w:rPr>
        <w:t>nonchè</w:t>
      </w:r>
      <w:proofErr w:type="spellEnd"/>
      <w:r w:rsidRPr="00341BA1">
        <w:rPr>
          <w:rFonts w:ascii="Times New Roman" w:eastAsiaTheme="minorEastAsia" w:hAnsi="Times New Roman" w:cs="Times New Roman"/>
          <w:sz w:val="24"/>
          <w:szCs w:val="24"/>
          <w:lang w:eastAsia="it-IT"/>
        </w:rPr>
        <w:t xml:space="preserve"> ulteriori telefonate oggetto di separata contestazione in data 7 dicembre ed altre undici del 24.12.2001, tutte di svago.</w:t>
      </w: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Osservava la Corte territoriale che non era stato violato il divieto di utilizzazione di apparecchiature per il controllo a distanza dei lavoratori di cui all'art. 4 dello Statuto dei Lavoratori, atteso che non vi era stata lesione della dignità e riservatezza del P., in quanto questi svolgeva la propria prestazione lavorativa in postazione chiusa, che in tale postazione si trovava un'utenza telefonica dell'Ospedale, che erano stati acquisiti non dal datore, ma dall'azienda ospedaliera - soggetto estraneo al rapporto di lavoro - i tabulati per l'accertamento di telefonate abusive e che gli ultimi tre numeri delle telefonate ritenute abusive erano stati criptati. L'acquisizione dei tabulati era avvenuta per fornire chiarimenti all'azienda ospedaliera, la quale aveva avuto modo di rilevare il numero eccessivo delle chiamate.</w:t>
      </w:r>
    </w:p>
    <w:p w:rsidR="00341BA1" w:rsidRPr="00341BA1" w:rsidRDefault="00341BA1" w:rsidP="00341BA1">
      <w:pPr>
        <w:spacing w:after="0" w:line="240" w:lineRule="auto"/>
        <w:jc w:val="both"/>
        <w:rPr>
          <w:rFonts w:ascii="Times New Roman" w:eastAsia="Times New Roman" w:hAnsi="Times New Roman" w:cs="Times New Roman"/>
          <w:sz w:val="24"/>
          <w:szCs w:val="24"/>
          <w:lang w:eastAsia="it-IT"/>
        </w:rPr>
      </w:pPr>
      <w:r w:rsidRPr="00341BA1">
        <w:rPr>
          <w:rFonts w:ascii="Times New Roman" w:eastAsia="Times New Roman" w:hAnsi="Times New Roman" w:cs="Times New Roman"/>
          <w:sz w:val="24"/>
          <w:szCs w:val="24"/>
          <w:lang w:eastAsia="it-IT"/>
        </w:rPr>
        <w:t xml:space="preserve"> </w:t>
      </w:r>
      <w:r w:rsidRPr="00341BA1">
        <w:rPr>
          <w:rFonts w:ascii="Times New Roman" w:eastAsia="Times New Roman" w:hAnsi="Times New Roman" w:cs="Times New Roman"/>
          <w:sz w:val="24"/>
          <w:szCs w:val="24"/>
          <w:lang w:eastAsia="it-IT"/>
        </w:rPr>
        <w:br/>
        <w:t xml:space="preserve">MOTIVI DELLA DECISIONE </w:t>
      </w:r>
    </w:p>
    <w:p w:rsidR="00341BA1" w:rsidRPr="00341BA1" w:rsidRDefault="00341BA1" w:rsidP="00341BA1">
      <w:pPr>
        <w:spacing w:after="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Il ricorso è infondato. Quanto al primo motivo, si osserva che, ai fini dell'operatività del divieto di utilizzo di apparecchiature per il controllo a distanza dell'attività dei lavoratori previsto dalla L. n. 300 del 1970, art. 4, è necessario che il controllo riguardi (direttamente o indirettamente) l'attività lavorativa, mentre devono ritenersi certamente fuori dell'ambito di applicazione della norma sopra citata i controlli diretti ad accertare condotte illecite del lavoratore (cosiddetti controlli difensivi), quali, ad esempio, come nella specie, gli apparecchi di rilevazione di telefonate ingiustificate (cfr., in tali termini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xml:space="preserve">. 3.4.2002 n. 4746;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xml:space="preserve">. 28.1.2011 n. 2117 e, da ultimo,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xml:space="preserve"> 23.2.2012 n. 2712).</w:t>
      </w:r>
    </w:p>
    <w:p w:rsidR="00341BA1" w:rsidRPr="00341BA1" w:rsidRDefault="00341BA1" w:rsidP="00341BA1">
      <w:pPr>
        <w:spacing w:after="150" w:line="240" w:lineRule="auto"/>
        <w:jc w:val="both"/>
        <w:rPr>
          <w:rFonts w:ascii="Times New Roman" w:eastAsiaTheme="minorEastAsia" w:hAnsi="Times New Roman" w:cs="Times New Roman"/>
          <w:sz w:val="24"/>
          <w:szCs w:val="24"/>
          <w:lang w:eastAsia="it-IT"/>
        </w:rPr>
      </w:pPr>
      <w:r w:rsidRPr="00341BA1">
        <w:rPr>
          <w:rFonts w:ascii="Times New Roman" w:eastAsiaTheme="minorEastAsia" w:hAnsi="Times New Roman" w:cs="Times New Roman"/>
          <w:sz w:val="24"/>
          <w:szCs w:val="24"/>
          <w:lang w:eastAsia="it-IT"/>
        </w:rPr>
        <w:t xml:space="preserve">Il principio affermato nella sentenza impugnata è, dunque, conforme a quello affermato dalla richiamata giurisprudenza di legittimità, che ha ripetutamente ribadito che, in tema di controllo a distanza dei lavoratori, il divieto previsto dall'art. 4 dello statuto dei lavoratori di installazione di impianti audiovisivi o di altre apparecchiature per il controllo a distanza dell'attività dei lavoratori, </w:t>
      </w:r>
      <w:r w:rsidRPr="00341BA1">
        <w:rPr>
          <w:rFonts w:ascii="Times New Roman" w:eastAsiaTheme="minorEastAsia" w:hAnsi="Times New Roman" w:cs="Times New Roman"/>
          <w:sz w:val="24"/>
          <w:szCs w:val="24"/>
          <w:lang w:eastAsia="it-IT"/>
        </w:rPr>
        <w:lastRenderedPageBreak/>
        <w:t>riferendosi alle sole installazioni poste in essere dal datore di lavoro, non preclude a questo, al fine di dimostrare l'illecito posto in essere da propri dipendenti, di utilizzare le risultanze di registrazioni operate fuori dall'azienda o tabulati telefonici acquisiti da un soggetto terzo, del tutto estraneo all'impresa e ai lavoratori dipendenti della stessa, per esclusive finalità "difensive" del proprio ufficio, con la conseguenza che tali risultanze sono legittimamente utilizzabili nel processo dal datore di lavoro (</w:t>
      </w:r>
      <w:proofErr w:type="spellStart"/>
      <w:r w:rsidRPr="00341BA1">
        <w:rPr>
          <w:rFonts w:ascii="Times New Roman" w:eastAsiaTheme="minorEastAsia" w:hAnsi="Times New Roman" w:cs="Times New Roman"/>
          <w:sz w:val="24"/>
          <w:szCs w:val="24"/>
          <w:lang w:eastAsia="it-IT"/>
        </w:rPr>
        <w:t>cfr</w:t>
      </w:r>
      <w:proofErr w:type="spellEnd"/>
      <w:r w:rsidRPr="00341BA1">
        <w:rPr>
          <w:rFonts w:ascii="Times New Roman" w:eastAsiaTheme="minorEastAsia" w:hAnsi="Times New Roman" w:cs="Times New Roman"/>
          <w:sz w:val="24"/>
          <w:szCs w:val="24"/>
          <w:lang w:eastAsia="it-IT"/>
        </w:rPr>
        <w:t xml:space="preserve">, in particolare, </w:t>
      </w:r>
      <w:proofErr w:type="spellStart"/>
      <w:r w:rsidRPr="00341BA1">
        <w:rPr>
          <w:rFonts w:ascii="Times New Roman" w:eastAsiaTheme="minorEastAsia" w:hAnsi="Times New Roman" w:cs="Times New Roman"/>
          <w:sz w:val="24"/>
          <w:szCs w:val="24"/>
          <w:lang w:eastAsia="it-IT"/>
        </w:rPr>
        <w:t>Cass</w:t>
      </w:r>
      <w:proofErr w:type="spellEnd"/>
      <w:r w:rsidRPr="00341BA1">
        <w:rPr>
          <w:rFonts w:ascii="Times New Roman" w:eastAsiaTheme="minorEastAsia" w:hAnsi="Times New Roman" w:cs="Times New Roman"/>
          <w:sz w:val="24"/>
          <w:szCs w:val="24"/>
          <w:lang w:eastAsia="it-IT"/>
        </w:rPr>
        <w:t>. 2117/2011 cit.). Nel caso considerato il P. operava, invero, in una guardiola posta all'interno del presidio ospedaliere, cui erano addetti per la sorveglianza all'ingresso lavoratori della società intimata, che aveva in appalto la gestione del servizio di sorveglianza ed i tabulati erano stati acquisiti dall'Ospedale, che aveva rilevato un numero eccessivo di telefonate effettuate dall'ufficio ove operavano i lavoratori dell'impresa appaltatrice del servizio. Ricorrono, pertanto, i requisiti che consentono la utilizzabilità delle dette risultanze a fini processuali.</w:t>
      </w:r>
    </w:p>
    <w:p w:rsidR="0041350E" w:rsidRDefault="0041350E">
      <w:bookmarkStart w:id="0" w:name="_GoBack"/>
      <w:bookmarkEnd w:id="0"/>
    </w:p>
    <w:sectPr w:rsidR="0041350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27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BA1"/>
    <w:rsid w:val="00341BA1"/>
    <w:rsid w:val="0041350E"/>
    <w:rsid w:val="00622F8F"/>
    <w:rsid w:val="00FD7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41BA1"/>
    <w:pPr>
      <w:spacing w:after="0" w:line="240" w:lineRule="auto"/>
    </w:pPr>
    <w:rPr>
      <w:rFonts w:ascii="Times New Roman" w:eastAsiaTheme="minorEastAsia" w:hAnsi="Times New Roman" w:cs="Times New Roman"/>
      <w:sz w:val="24"/>
      <w:szCs w:val="24"/>
      <w:lang w:eastAsia="it-IT"/>
    </w:rPr>
  </w:style>
  <w:style w:type="character" w:customStyle="1" w:styleId="blackunder">
    <w:name w:val="blackunder"/>
    <w:basedOn w:val="Carpredefinitoparagrafo"/>
    <w:rsid w:val="00341B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41BA1"/>
    <w:pPr>
      <w:spacing w:after="0" w:line="240" w:lineRule="auto"/>
    </w:pPr>
    <w:rPr>
      <w:rFonts w:ascii="Times New Roman" w:eastAsiaTheme="minorEastAsia" w:hAnsi="Times New Roman" w:cs="Times New Roman"/>
      <w:sz w:val="24"/>
      <w:szCs w:val="24"/>
      <w:lang w:eastAsia="it-IT"/>
    </w:rPr>
  </w:style>
  <w:style w:type="character" w:customStyle="1" w:styleId="blackunder">
    <w:name w:val="blackunder"/>
    <w:basedOn w:val="Carpredefinitoparagrafo"/>
    <w:rsid w:val="00341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900510">
      <w:bodyDiv w:val="1"/>
      <w:marLeft w:val="0"/>
      <w:marRight w:val="0"/>
      <w:marTop w:val="0"/>
      <w:marBottom w:val="0"/>
      <w:divBdr>
        <w:top w:val="none" w:sz="0" w:space="0" w:color="auto"/>
        <w:left w:val="none" w:sz="0" w:space="0" w:color="auto"/>
        <w:bottom w:val="none" w:sz="0" w:space="0" w:color="auto"/>
        <w:right w:val="none" w:sz="0" w:space="0" w:color="auto"/>
      </w:divBdr>
      <w:divsChild>
        <w:div w:id="796340732">
          <w:marLeft w:val="0"/>
          <w:marRight w:val="0"/>
          <w:marTop w:val="0"/>
          <w:marBottom w:val="0"/>
          <w:divBdr>
            <w:top w:val="none" w:sz="0" w:space="0" w:color="auto"/>
            <w:left w:val="none" w:sz="0" w:space="0" w:color="auto"/>
            <w:bottom w:val="none" w:sz="0" w:space="0" w:color="auto"/>
            <w:right w:val="none" w:sz="0" w:space="0" w:color="auto"/>
          </w:divBdr>
        </w:div>
        <w:div w:id="1768115867">
          <w:marLeft w:val="0"/>
          <w:marRight w:val="0"/>
          <w:marTop w:val="0"/>
          <w:marBottom w:val="0"/>
          <w:divBdr>
            <w:top w:val="none" w:sz="0" w:space="0" w:color="auto"/>
            <w:left w:val="none" w:sz="0" w:space="0" w:color="auto"/>
            <w:bottom w:val="none" w:sz="0" w:space="0" w:color="auto"/>
            <w:right w:val="none" w:sz="0" w:space="0" w:color="auto"/>
          </w:divBdr>
          <w:divsChild>
            <w:div w:id="673537827">
              <w:marLeft w:val="150"/>
              <w:marRight w:val="150"/>
              <w:marTop w:val="150"/>
              <w:marBottom w:val="150"/>
              <w:divBdr>
                <w:top w:val="none" w:sz="0" w:space="0" w:color="auto"/>
                <w:left w:val="none" w:sz="0" w:space="0" w:color="auto"/>
                <w:bottom w:val="none" w:sz="0" w:space="0" w:color="auto"/>
                <w:right w:val="none" w:sz="0" w:space="0" w:color="auto"/>
              </w:divBdr>
            </w:div>
          </w:divsChild>
        </w:div>
        <w:div w:id="106630697">
          <w:marLeft w:val="0"/>
          <w:marRight w:val="0"/>
          <w:marTop w:val="0"/>
          <w:marBottom w:val="0"/>
          <w:divBdr>
            <w:top w:val="none" w:sz="0" w:space="0" w:color="auto"/>
            <w:left w:val="none" w:sz="0" w:space="0" w:color="auto"/>
            <w:bottom w:val="none" w:sz="0" w:space="0" w:color="auto"/>
            <w:right w:val="none" w:sz="0" w:space="0" w:color="auto"/>
          </w:divBdr>
          <w:divsChild>
            <w:div w:id="888954086">
              <w:marLeft w:val="150"/>
              <w:marRight w:val="150"/>
              <w:marTop w:val="150"/>
              <w:marBottom w:val="150"/>
              <w:divBdr>
                <w:top w:val="none" w:sz="0" w:space="0" w:color="auto"/>
                <w:left w:val="none" w:sz="0" w:space="0" w:color="auto"/>
                <w:bottom w:val="none" w:sz="0" w:space="0" w:color="auto"/>
                <w:right w:val="none" w:sz="0" w:space="0" w:color="auto"/>
              </w:divBdr>
            </w:div>
          </w:divsChild>
        </w:div>
        <w:div w:id="96828698">
          <w:marLeft w:val="0"/>
          <w:marRight w:val="0"/>
          <w:marTop w:val="0"/>
          <w:marBottom w:val="0"/>
          <w:divBdr>
            <w:top w:val="none" w:sz="0" w:space="0" w:color="auto"/>
            <w:left w:val="none" w:sz="0" w:space="0" w:color="auto"/>
            <w:bottom w:val="none" w:sz="0" w:space="0" w:color="auto"/>
            <w:right w:val="none" w:sz="0" w:space="0" w:color="auto"/>
          </w:divBdr>
          <w:divsChild>
            <w:div w:id="1494106519">
              <w:marLeft w:val="0"/>
              <w:marRight w:val="0"/>
              <w:marTop w:val="0"/>
              <w:marBottom w:val="0"/>
              <w:divBdr>
                <w:top w:val="none" w:sz="0" w:space="0" w:color="auto"/>
                <w:left w:val="none" w:sz="0" w:space="0" w:color="auto"/>
                <w:bottom w:val="none" w:sz="0" w:space="0" w:color="auto"/>
                <w:right w:val="none" w:sz="0" w:space="0" w:color="auto"/>
              </w:divBdr>
            </w:div>
            <w:div w:id="1354838492">
              <w:marLeft w:val="0"/>
              <w:marRight w:val="0"/>
              <w:marTop w:val="0"/>
              <w:marBottom w:val="0"/>
              <w:divBdr>
                <w:top w:val="none" w:sz="0" w:space="0" w:color="auto"/>
                <w:left w:val="none" w:sz="0" w:space="0" w:color="auto"/>
                <w:bottom w:val="none" w:sz="0" w:space="0" w:color="auto"/>
                <w:right w:val="none" w:sz="0" w:space="0" w:color="auto"/>
              </w:divBdr>
              <w:divsChild>
                <w:div w:id="1688289160">
                  <w:marLeft w:val="0"/>
                  <w:marRight w:val="0"/>
                  <w:marTop w:val="0"/>
                  <w:marBottom w:val="0"/>
                  <w:divBdr>
                    <w:top w:val="none" w:sz="0" w:space="0" w:color="auto"/>
                    <w:left w:val="none" w:sz="0" w:space="0" w:color="auto"/>
                    <w:bottom w:val="none" w:sz="0" w:space="0" w:color="auto"/>
                    <w:right w:val="none" w:sz="0" w:space="0" w:color="auto"/>
                  </w:divBdr>
                </w:div>
              </w:divsChild>
            </w:div>
            <w:div w:id="1406225381">
              <w:marLeft w:val="0"/>
              <w:marRight w:val="0"/>
              <w:marTop w:val="0"/>
              <w:marBottom w:val="0"/>
              <w:divBdr>
                <w:top w:val="none" w:sz="0" w:space="0" w:color="auto"/>
                <w:left w:val="none" w:sz="0" w:space="0" w:color="auto"/>
                <w:bottom w:val="none" w:sz="0" w:space="0" w:color="auto"/>
                <w:right w:val="none" w:sz="0" w:space="0" w:color="auto"/>
              </w:divBdr>
            </w:div>
            <w:div w:id="445275366">
              <w:marLeft w:val="0"/>
              <w:marRight w:val="0"/>
              <w:marTop w:val="0"/>
              <w:marBottom w:val="0"/>
              <w:divBdr>
                <w:top w:val="none" w:sz="0" w:space="0" w:color="auto"/>
                <w:left w:val="none" w:sz="0" w:space="0" w:color="auto"/>
                <w:bottom w:val="none" w:sz="0" w:space="0" w:color="auto"/>
                <w:right w:val="none" w:sz="0" w:space="0" w:color="auto"/>
              </w:divBdr>
              <w:divsChild>
                <w:div w:id="577134633">
                  <w:marLeft w:val="150"/>
                  <w:marRight w:val="150"/>
                  <w:marTop w:val="150"/>
                  <w:marBottom w:val="150"/>
                  <w:divBdr>
                    <w:top w:val="none" w:sz="0" w:space="0" w:color="auto"/>
                    <w:left w:val="none" w:sz="0" w:space="0" w:color="auto"/>
                    <w:bottom w:val="none" w:sz="0" w:space="0" w:color="auto"/>
                    <w:right w:val="none" w:sz="0" w:space="0" w:color="auto"/>
                  </w:divBdr>
                </w:div>
              </w:divsChild>
            </w:div>
            <w:div w:id="865489209">
              <w:marLeft w:val="0"/>
              <w:marRight w:val="0"/>
              <w:marTop w:val="0"/>
              <w:marBottom w:val="0"/>
              <w:divBdr>
                <w:top w:val="none" w:sz="0" w:space="0" w:color="auto"/>
                <w:left w:val="none" w:sz="0" w:space="0" w:color="auto"/>
                <w:bottom w:val="none" w:sz="0" w:space="0" w:color="auto"/>
                <w:right w:val="none" w:sz="0" w:space="0" w:color="auto"/>
              </w:divBdr>
              <w:divsChild>
                <w:div w:id="196222046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705059548">
          <w:marLeft w:val="0"/>
          <w:marRight w:val="0"/>
          <w:marTop w:val="0"/>
          <w:marBottom w:val="0"/>
          <w:divBdr>
            <w:top w:val="none" w:sz="0" w:space="0" w:color="auto"/>
            <w:left w:val="none" w:sz="0" w:space="0" w:color="auto"/>
            <w:bottom w:val="none" w:sz="0" w:space="0" w:color="auto"/>
            <w:right w:val="none" w:sz="0" w:space="0" w:color="auto"/>
          </w:divBdr>
          <w:divsChild>
            <w:div w:id="553388629">
              <w:marLeft w:val="0"/>
              <w:marRight w:val="0"/>
              <w:marTop w:val="0"/>
              <w:marBottom w:val="0"/>
              <w:divBdr>
                <w:top w:val="none" w:sz="0" w:space="0" w:color="auto"/>
                <w:left w:val="none" w:sz="0" w:space="0" w:color="auto"/>
                <w:bottom w:val="none" w:sz="0" w:space="0" w:color="auto"/>
                <w:right w:val="none" w:sz="0" w:space="0" w:color="auto"/>
              </w:divBdr>
              <w:divsChild>
                <w:div w:id="1789549128">
                  <w:marLeft w:val="0"/>
                  <w:marRight w:val="0"/>
                  <w:marTop w:val="0"/>
                  <w:marBottom w:val="0"/>
                  <w:divBdr>
                    <w:top w:val="none" w:sz="0" w:space="0" w:color="auto"/>
                    <w:left w:val="none" w:sz="0" w:space="0" w:color="auto"/>
                    <w:bottom w:val="none" w:sz="0" w:space="0" w:color="auto"/>
                    <w:right w:val="none" w:sz="0" w:space="0" w:color="auto"/>
                  </w:divBdr>
                </w:div>
              </w:divsChild>
            </w:div>
            <w:div w:id="513231369">
              <w:marLeft w:val="0"/>
              <w:marRight w:val="0"/>
              <w:marTop w:val="0"/>
              <w:marBottom w:val="0"/>
              <w:divBdr>
                <w:top w:val="none" w:sz="0" w:space="0" w:color="auto"/>
                <w:left w:val="none" w:sz="0" w:space="0" w:color="auto"/>
                <w:bottom w:val="none" w:sz="0" w:space="0" w:color="auto"/>
                <w:right w:val="none" w:sz="0" w:space="0" w:color="auto"/>
              </w:divBdr>
              <w:divsChild>
                <w:div w:id="1912807817">
                  <w:marLeft w:val="150"/>
                  <w:marRight w:val="150"/>
                  <w:marTop w:val="150"/>
                  <w:marBottom w:val="150"/>
                  <w:divBdr>
                    <w:top w:val="none" w:sz="0" w:space="0" w:color="auto"/>
                    <w:left w:val="none" w:sz="0" w:space="0" w:color="auto"/>
                    <w:bottom w:val="none" w:sz="0" w:space="0" w:color="auto"/>
                    <w:right w:val="none" w:sz="0" w:space="0" w:color="auto"/>
                  </w:divBdr>
                </w:div>
              </w:divsChild>
            </w:div>
            <w:div w:id="487526402">
              <w:marLeft w:val="0"/>
              <w:marRight w:val="0"/>
              <w:marTop w:val="0"/>
              <w:marBottom w:val="0"/>
              <w:divBdr>
                <w:top w:val="none" w:sz="0" w:space="0" w:color="auto"/>
                <w:left w:val="none" w:sz="0" w:space="0" w:color="auto"/>
                <w:bottom w:val="none" w:sz="0" w:space="0" w:color="auto"/>
                <w:right w:val="none" w:sz="0" w:space="0" w:color="auto"/>
              </w:divBdr>
              <w:divsChild>
                <w:div w:id="128472582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401487574">
          <w:marLeft w:val="0"/>
          <w:marRight w:val="0"/>
          <w:marTop w:val="0"/>
          <w:marBottom w:val="0"/>
          <w:divBdr>
            <w:top w:val="none" w:sz="0" w:space="0" w:color="auto"/>
            <w:left w:val="none" w:sz="0" w:space="0" w:color="auto"/>
            <w:bottom w:val="none" w:sz="0" w:space="0" w:color="auto"/>
            <w:right w:val="none" w:sz="0" w:space="0" w:color="auto"/>
          </w:divBdr>
          <w:divsChild>
            <w:div w:id="1584558841">
              <w:marLeft w:val="0"/>
              <w:marRight w:val="0"/>
              <w:marTop w:val="0"/>
              <w:marBottom w:val="0"/>
              <w:divBdr>
                <w:top w:val="none" w:sz="0" w:space="0" w:color="auto"/>
                <w:left w:val="none" w:sz="0" w:space="0" w:color="auto"/>
                <w:bottom w:val="none" w:sz="0" w:space="0" w:color="auto"/>
                <w:right w:val="none" w:sz="0" w:space="0" w:color="auto"/>
              </w:divBdr>
              <w:divsChild>
                <w:div w:id="1336877791">
                  <w:marLeft w:val="0"/>
                  <w:marRight w:val="0"/>
                  <w:marTop w:val="0"/>
                  <w:marBottom w:val="0"/>
                  <w:divBdr>
                    <w:top w:val="none" w:sz="0" w:space="0" w:color="auto"/>
                    <w:left w:val="none" w:sz="0" w:space="0" w:color="auto"/>
                    <w:bottom w:val="none" w:sz="0" w:space="0" w:color="auto"/>
                    <w:right w:val="none" w:sz="0" w:space="0" w:color="auto"/>
                  </w:divBdr>
                </w:div>
              </w:divsChild>
            </w:div>
            <w:div w:id="2008748310">
              <w:marLeft w:val="0"/>
              <w:marRight w:val="0"/>
              <w:marTop w:val="0"/>
              <w:marBottom w:val="0"/>
              <w:divBdr>
                <w:top w:val="none" w:sz="0" w:space="0" w:color="auto"/>
                <w:left w:val="none" w:sz="0" w:space="0" w:color="auto"/>
                <w:bottom w:val="none" w:sz="0" w:space="0" w:color="auto"/>
                <w:right w:val="none" w:sz="0" w:space="0" w:color="auto"/>
              </w:divBdr>
            </w:div>
            <w:div w:id="1523010326">
              <w:marLeft w:val="0"/>
              <w:marRight w:val="0"/>
              <w:marTop w:val="0"/>
              <w:marBottom w:val="0"/>
              <w:divBdr>
                <w:top w:val="none" w:sz="0" w:space="0" w:color="auto"/>
                <w:left w:val="none" w:sz="0" w:space="0" w:color="auto"/>
                <w:bottom w:val="none" w:sz="0" w:space="0" w:color="auto"/>
                <w:right w:val="none" w:sz="0" w:space="0" w:color="auto"/>
              </w:divBdr>
              <w:divsChild>
                <w:div w:id="33237054">
                  <w:marLeft w:val="150"/>
                  <w:marRight w:val="150"/>
                  <w:marTop w:val="150"/>
                  <w:marBottom w:val="150"/>
                  <w:divBdr>
                    <w:top w:val="none" w:sz="0" w:space="0" w:color="auto"/>
                    <w:left w:val="none" w:sz="0" w:space="0" w:color="auto"/>
                    <w:bottom w:val="none" w:sz="0" w:space="0" w:color="auto"/>
                    <w:right w:val="none" w:sz="0" w:space="0" w:color="auto"/>
                  </w:divBdr>
                </w:div>
              </w:divsChild>
            </w:div>
            <w:div w:id="389429147">
              <w:marLeft w:val="0"/>
              <w:marRight w:val="0"/>
              <w:marTop w:val="0"/>
              <w:marBottom w:val="0"/>
              <w:divBdr>
                <w:top w:val="none" w:sz="0" w:space="0" w:color="auto"/>
                <w:left w:val="none" w:sz="0" w:space="0" w:color="auto"/>
                <w:bottom w:val="none" w:sz="0" w:space="0" w:color="auto"/>
                <w:right w:val="none" w:sz="0" w:space="0" w:color="auto"/>
              </w:divBdr>
              <w:divsChild>
                <w:div w:id="46073568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4046</Words>
  <Characters>23068</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Canavesi</dc:creator>
  <cp:lastModifiedBy>Guido Canavesi</cp:lastModifiedBy>
  <cp:revision>1</cp:revision>
  <dcterms:created xsi:type="dcterms:W3CDTF">2013-10-31T13:49:00Z</dcterms:created>
  <dcterms:modified xsi:type="dcterms:W3CDTF">2013-10-31T13:50:00Z</dcterms:modified>
</cp:coreProperties>
</file>