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</w:pPr>
      <w:r>
        <w:rPr>
          <w:i/>
        </w:rPr>
        <w:t>Frammenti di memoria. L’Europa, l’identità, la storia</w:t>
      </w:r>
      <w:r>
        <w:t>, in “Novecento”, n. 9, 2004;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</w:pPr>
      <w:r>
        <w:rPr>
          <w:i/>
        </w:rPr>
        <w:t>“La fiducia viene dal basso, il potere dall’alto”. Il laboratorio di brumaio e la crisi del legislativo-centrismo rivoluzionario</w:t>
      </w:r>
      <w:r>
        <w:t>, in “Giornale di storia costituzionale”, n. 8, 2004;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</w:pPr>
      <w:bookmarkStart w:id="0" w:name="OLE_LINK3"/>
      <w:bookmarkStart w:id="1" w:name="OLE_LINK4"/>
      <w:r>
        <w:rPr>
          <w:i/>
        </w:rPr>
        <w:t>Spazio politico e identità: riflessioni sul dibattito in corso</w:t>
      </w:r>
      <w:r>
        <w:t xml:space="preserve">, in AA.VV., </w:t>
      </w:r>
      <w:r>
        <w:rPr>
          <w:i/>
        </w:rPr>
        <w:t>(Im)migrazioni, trasformazioni, mutamenti sociali</w:t>
      </w:r>
      <w:r>
        <w:t>, Milano, Franco Angeli, 2005</w:t>
      </w:r>
      <w:bookmarkEnd w:id="0"/>
      <w:bookmarkEnd w:id="1"/>
      <w:r>
        <w:t>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  <w:rPr>
          <w:rFonts w:ascii="Times" w:hAnsi="Times"/>
        </w:rPr>
      </w:pPr>
      <w:r>
        <w:rPr>
          <w:i/>
        </w:rPr>
        <w:t xml:space="preserve">Il prisma giacobino (A proposito di </w:t>
      </w:r>
      <w:r>
        <w:t>Scacco al liberalismo</w:t>
      </w:r>
      <w:r>
        <w:rPr>
          <w:i/>
        </w:rPr>
        <w:t xml:space="preserve"> di Lucien Jaume), </w:t>
      </w:r>
      <w:r>
        <w:t>in «Quaderni fiorentini per la storia del pensiero giuridico moderno», n. 33-34, 2004-2005, pp. 1267-1277;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</w:pPr>
      <w:r>
        <w:rPr>
          <w:rFonts w:ascii="Times" w:hAnsi="Times"/>
          <w:i/>
        </w:rPr>
        <w:t>Storicità e senso del tempo. Per una storia della “fine della storia”</w:t>
      </w:r>
      <w:r>
        <w:rPr>
          <w:rFonts w:ascii="Times" w:hAnsi="Times"/>
        </w:rPr>
        <w:t xml:space="preserve">, in </w:t>
      </w:r>
      <w:r>
        <w:t>“Novecento”, n. 11, 2004;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  <w:rPr>
          <w:rFonts w:ascii="Times" w:hAnsi="Times"/>
        </w:rPr>
      </w:pPr>
      <w:r>
        <w:rPr>
          <w:rFonts w:ascii="Times" w:hAnsi="Times"/>
          <w:i/>
        </w:rPr>
        <w:t>Specchi della costituzione</w:t>
      </w:r>
      <w:r>
        <w:rPr>
          <w:rFonts w:ascii="Times" w:hAnsi="Times"/>
        </w:rPr>
        <w:t>, in “Scienza &amp; Politica”, n. 31, 2004;</w:t>
      </w:r>
    </w:p>
    <w:p w:rsidR="0055772F" w:rsidRPr="00907209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  <w:rPr>
          <w:rFonts w:ascii="Times" w:hAnsi="Times"/>
        </w:rPr>
      </w:pPr>
      <w:r>
        <w:rPr>
          <w:i/>
        </w:rPr>
        <w:t>I confini del mondo. Storia del cosmopolitismo dall’Antichità al Settecento</w:t>
      </w:r>
      <w:r>
        <w:t>, Bologna, il Mulino, 2006;</w:t>
      </w:r>
    </w:p>
    <w:p w:rsidR="0055772F" w:rsidRDefault="0055772F" w:rsidP="0055772F">
      <w:pPr>
        <w:numPr>
          <w:ilvl w:val="0"/>
          <w:numId w:val="1"/>
        </w:numPr>
        <w:spacing w:after="0" w:line="360" w:lineRule="atLeast"/>
        <w:ind w:right="458"/>
        <w:jc w:val="both"/>
        <w:rPr>
          <w:rFonts w:ascii="Times" w:hAnsi="Times"/>
        </w:rPr>
      </w:pPr>
      <w:r>
        <w:rPr>
          <w:rFonts w:ascii="Times" w:hAnsi="Times"/>
          <w:i/>
        </w:rPr>
        <w:t>Uscire dal moderno: storia dei concetti e mutamento epocale</w:t>
      </w:r>
      <w:r>
        <w:rPr>
          <w:rFonts w:ascii="Times" w:hAnsi="Times"/>
        </w:rPr>
        <w:t>, in “Storica”, n. 32, 2005;</w:t>
      </w:r>
    </w:p>
    <w:p w:rsidR="0055772F" w:rsidRPr="00EE2788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t>I labirinti della sostenibilità</w:t>
      </w:r>
      <w:r>
        <w:rPr>
          <w:rFonts w:ascii="Times" w:hAnsi="Times"/>
        </w:rPr>
        <w:t>, in “I frutti di Demetra”, n. 10/2006;</w:t>
      </w:r>
    </w:p>
    <w:p w:rsidR="0055772F" w:rsidRPr="0057509B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bookmarkStart w:id="2" w:name="OLE_LINK5"/>
      <w:r w:rsidRPr="00D761B7">
        <w:rPr>
          <w:szCs w:val="24"/>
        </w:rPr>
        <w:t>(con F. Benigno)</w:t>
      </w:r>
      <w:r>
        <w:rPr>
          <w:i/>
          <w:szCs w:val="24"/>
        </w:rPr>
        <w:t xml:space="preserve"> Introduzione</w:t>
      </w:r>
      <w:r>
        <w:rPr>
          <w:szCs w:val="24"/>
        </w:rPr>
        <w:t xml:space="preserve">, in </w:t>
      </w:r>
      <w:bookmarkStart w:id="3" w:name="OLE_LINK1"/>
      <w:bookmarkStart w:id="4" w:name="OLE_LINK2"/>
      <w:r>
        <w:rPr>
          <w:i/>
          <w:szCs w:val="24"/>
        </w:rPr>
        <w:t>Il governo dell’emergenza. Poteri straordinari e di guerra in Europa tra XVI e XX secolo</w:t>
      </w:r>
      <w:bookmarkEnd w:id="3"/>
      <w:bookmarkEnd w:id="4"/>
      <w:r>
        <w:rPr>
          <w:szCs w:val="24"/>
        </w:rPr>
        <w:t>, a cura di F. Benigno e L. Scuccimarra, Roma, Viella, 2007;</w:t>
      </w:r>
    </w:p>
    <w:p w:rsidR="0055772F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 w:rsidRPr="00217BAE">
        <w:rPr>
          <w:i/>
          <w:szCs w:val="24"/>
        </w:rPr>
        <w:t>Il più civile dei militari</w:t>
      </w:r>
      <w:r w:rsidRPr="00217BAE">
        <w:rPr>
          <w:szCs w:val="24"/>
        </w:rPr>
        <w:t xml:space="preserve">: </w:t>
      </w:r>
      <w:r w:rsidRPr="00217BAE">
        <w:rPr>
          <w:i/>
          <w:szCs w:val="24"/>
        </w:rPr>
        <w:t>concentrazione del potere e governo di guerra nel regime bonapartista</w:t>
      </w:r>
      <w:r>
        <w:rPr>
          <w:szCs w:val="24"/>
        </w:rPr>
        <w:t xml:space="preserve">, in </w:t>
      </w:r>
      <w:r>
        <w:rPr>
          <w:i/>
          <w:szCs w:val="24"/>
        </w:rPr>
        <w:t>Il governo dell’eccezione. Poteri straordinari e di guerra alle origini della politica moderna</w:t>
      </w:r>
      <w:r>
        <w:rPr>
          <w:szCs w:val="24"/>
        </w:rPr>
        <w:t>, a cura di F. Benigno e L. Scuccimarra, Roma, Viella, 2007;</w:t>
      </w:r>
    </w:p>
    <w:p w:rsidR="0055772F" w:rsidRPr="00E10B5B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t>Il laboratorio francese</w:t>
      </w:r>
      <w:r>
        <w:rPr>
          <w:rFonts w:ascii="Times" w:hAnsi="Times"/>
        </w:rPr>
        <w:t xml:space="preserve">, Introduzione al n. 12/2006 del «Giornale di storia costituzionale»: </w:t>
      </w:r>
      <w:r w:rsidRPr="00EE2788">
        <w:rPr>
          <w:rFonts w:ascii="Times" w:hAnsi="Times"/>
          <w:i/>
        </w:rPr>
        <w:t>Governo, Rappresentanza, Costituzione: profili di storia costituzionale in Francia tra XVIII e XIX secolo</w:t>
      </w:r>
      <w:r>
        <w:rPr>
          <w:rFonts w:ascii="Times" w:hAnsi="Times"/>
        </w:rPr>
        <w:t>;</w:t>
      </w:r>
    </w:p>
    <w:p w:rsidR="0055772F" w:rsidRPr="00132C15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t>Il cuneo bonapartista. Governo delle élites e sovranità popolare in Francia agli albori del Secondo Impero</w:t>
      </w:r>
      <w:r>
        <w:rPr>
          <w:rFonts w:ascii="Times" w:hAnsi="Times"/>
        </w:rPr>
        <w:t xml:space="preserve">, in «Giornale di storia costituzionale», n. 12/2006 (una versione più ampia è stata pubblicata in AA.VV., </w:t>
      </w:r>
      <w:r w:rsidRPr="00C07926">
        <w:rPr>
          <w:rFonts w:ascii="Times" w:hAnsi="Times"/>
          <w:i/>
        </w:rPr>
        <w:t>Classe politica, classe dominante, élite</w:t>
      </w:r>
      <w:r>
        <w:rPr>
          <w:rFonts w:ascii="Times" w:hAnsi="Times"/>
        </w:rPr>
        <w:t>, a cura di S. Amato, Firenze, Centro Editoriale Toscano, 2008);</w:t>
      </w:r>
    </w:p>
    <w:p w:rsidR="0055772F" w:rsidRPr="007F1CA6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t>La costellazione cosmopolitica. Una post-introduzione</w:t>
      </w:r>
      <w:r>
        <w:rPr>
          <w:rFonts w:ascii="Times" w:hAnsi="Times"/>
        </w:rPr>
        <w:t>, in «Storiografia», n. 10/2006;</w:t>
      </w:r>
    </w:p>
    <w:p w:rsidR="0055772F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 w:rsidRPr="003E0576">
        <w:rPr>
          <w:rFonts w:ascii="Times" w:hAnsi="Times"/>
          <w:i/>
        </w:rPr>
        <w:t>L’ultima parola. La fine della storia e i dilemmi della democrazia</w:t>
      </w:r>
      <w:r>
        <w:rPr>
          <w:rFonts w:ascii="Times" w:hAnsi="Times"/>
        </w:rPr>
        <w:t>, in «900. Per una storia del tempo presente», n. 14-15, 2007;</w:t>
      </w:r>
      <w:bookmarkEnd w:id="2"/>
    </w:p>
    <w:p w:rsidR="0055772F" w:rsidRPr="00961009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 w:rsidRPr="00BF72F4">
        <w:rPr>
          <w:rFonts w:ascii="Times" w:hAnsi="Times"/>
          <w:i/>
        </w:rPr>
        <w:t>Dalla Costituzione dell’anno III alla Costituzione dell’anno VIII: rottura e continuità</w:t>
      </w:r>
      <w:r>
        <w:rPr>
          <w:rFonts w:ascii="Times" w:hAnsi="Times"/>
        </w:rPr>
        <w:t xml:space="preserve">, in AA.VV., </w:t>
      </w:r>
      <w:r w:rsidRPr="00BF72F4">
        <w:rPr>
          <w:rFonts w:ascii="Times New Roman" w:hAnsi="Times New Roman"/>
          <w:i/>
        </w:rPr>
        <w:t>Da brumaio ai cento giorni. Cultura di governo e dissenso politico nell’Europa di Bonaparte</w:t>
      </w:r>
      <w:r>
        <w:rPr>
          <w:rFonts w:ascii="Times New Roman" w:hAnsi="Times New Roman"/>
        </w:rPr>
        <w:t>, Milano, Guerini, 2008;</w:t>
      </w:r>
    </w:p>
    <w:p w:rsidR="0055772F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t>Così vicini, così lontani. La “societas hominum” e le sue contraddizioni</w:t>
      </w:r>
      <w:r>
        <w:rPr>
          <w:rFonts w:ascii="Times" w:hAnsi="Times"/>
        </w:rPr>
        <w:t xml:space="preserve">, in </w:t>
      </w:r>
      <w:r>
        <w:rPr>
          <w:rFonts w:ascii="Times" w:hAnsi="Times"/>
          <w:i/>
        </w:rPr>
        <w:t xml:space="preserve"> </w:t>
      </w:r>
      <w:r w:rsidRPr="00000A45">
        <w:rPr>
          <w:i/>
          <w:szCs w:val="24"/>
        </w:rPr>
        <w:t>Paura dell’altro.</w:t>
      </w:r>
      <w:r>
        <w:rPr>
          <w:i/>
          <w:szCs w:val="24"/>
        </w:rPr>
        <w:t xml:space="preserve"> </w:t>
      </w:r>
      <w:r w:rsidRPr="00000A45">
        <w:rPr>
          <w:i/>
          <w:szCs w:val="24"/>
        </w:rPr>
        <w:t>Identità occidentale e cittadinanza</w:t>
      </w:r>
      <w:r>
        <w:rPr>
          <w:szCs w:val="24"/>
        </w:rPr>
        <w:t>, a cura di Francesco Bilancia, Franco Di Sciullo e Francesco Rimoli, Roma, Carocci, 2008;</w:t>
      </w:r>
    </w:p>
    <w:p w:rsidR="0055772F" w:rsidRPr="00033949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szCs w:val="24"/>
        </w:rPr>
      </w:pPr>
      <w:r>
        <w:rPr>
          <w:rFonts w:ascii="Times" w:hAnsi="Times"/>
          <w:i/>
        </w:rPr>
        <w:lastRenderedPageBreak/>
        <w:t xml:space="preserve">La guerra dei lumi. Vattel e le ambivalenze del </w:t>
      </w:r>
      <w:r w:rsidRPr="006B5A6D">
        <w:rPr>
          <w:rFonts w:ascii="Times" w:hAnsi="Times"/>
        </w:rPr>
        <w:t>droit des gens</w:t>
      </w:r>
      <w:r>
        <w:rPr>
          <w:rFonts w:ascii="Times" w:hAnsi="Times"/>
        </w:rPr>
        <w:t xml:space="preserve">, in AA.VV., </w:t>
      </w:r>
      <w:r w:rsidRPr="006B5A6D">
        <w:rPr>
          <w:rFonts w:ascii="Times" w:hAnsi="Times"/>
          <w:i/>
        </w:rPr>
        <w:t>La guerra</w:t>
      </w:r>
      <w:r>
        <w:rPr>
          <w:rFonts w:ascii="Times" w:hAnsi="Times"/>
          <w:i/>
        </w:rPr>
        <w:t xml:space="preserve"> e la sua immagine. Prospettive a confronto</w:t>
      </w:r>
      <w:r>
        <w:rPr>
          <w:rFonts w:ascii="Times" w:hAnsi="Times"/>
        </w:rPr>
        <w:t>, a cura di C.E. Gentilucci, M. Giovagnoli, B. Marucci e M.P. Paternò, Napoli, Satura, 2008;</w:t>
      </w:r>
    </w:p>
    <w:p w:rsidR="0055772F" w:rsidRPr="00665AA1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  <w:rPr>
          <w:rFonts w:ascii="New York" w:hAnsi="New York"/>
          <w:szCs w:val="24"/>
        </w:rPr>
      </w:pPr>
      <w:r>
        <w:rPr>
          <w:rFonts w:ascii="Times" w:hAnsi="Times"/>
          <w:i/>
        </w:rPr>
        <w:t>Sorvegliare e punire. Rivoluzione francese e forme di controllo</w:t>
      </w:r>
      <w:r>
        <w:rPr>
          <w:rFonts w:ascii="Times" w:hAnsi="Times"/>
        </w:rPr>
        <w:t xml:space="preserve">, in </w:t>
      </w:r>
      <w:r w:rsidRPr="002361A1">
        <w:rPr>
          <w:rFonts w:ascii="Times" w:hAnsi="Times"/>
          <w:i/>
        </w:rPr>
        <w:t>Magistrature repubblicane nella storia del pensiero politico</w:t>
      </w:r>
      <w:r>
        <w:rPr>
          <w:rFonts w:ascii="Times" w:hAnsi="Times"/>
        </w:rPr>
        <w:t>, numero monografico de «Il pensiero politico», n. 2, 2007;</w:t>
      </w:r>
    </w:p>
    <w:p w:rsidR="0055772F" w:rsidRPr="0055772F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</w:pPr>
      <w:r w:rsidRPr="0055772F">
        <w:rPr>
          <w:i/>
          <w:lang w:val="en-US"/>
        </w:rPr>
        <w:t>Semantics of Time and Historical Experience. Notes on Koselleck’s</w:t>
      </w:r>
      <w:r w:rsidRPr="0055772F">
        <w:rPr>
          <w:lang w:val="en-US"/>
        </w:rPr>
        <w:t xml:space="preserve"> Historik, in “Contributions to the History of Concepts”, n. 4, 2008;</w:t>
      </w:r>
    </w:p>
    <w:p w:rsidR="00687A89" w:rsidRDefault="0055772F" w:rsidP="0055772F">
      <w:pPr>
        <w:numPr>
          <w:ilvl w:val="0"/>
          <w:numId w:val="1"/>
        </w:numPr>
        <w:spacing w:after="0" w:line="360" w:lineRule="auto"/>
        <w:ind w:left="924" w:right="458" w:hanging="357"/>
        <w:jc w:val="both"/>
      </w:pPr>
      <w:r w:rsidRPr="0055772F">
        <w:rPr>
          <w:i/>
        </w:rPr>
        <w:t>Presentazione</w:t>
      </w:r>
      <w:r>
        <w:t xml:space="preserve">, in R. Koselleck, </w:t>
      </w:r>
      <w:r w:rsidRPr="0055772F">
        <w:rPr>
          <w:i/>
        </w:rPr>
        <w:t>Il vocabolario della modernità. Progresso, crisi e altre storie di concetti</w:t>
      </w:r>
      <w:r>
        <w:t>, Bologna, il Mulino, 2009;</w:t>
      </w:r>
    </w:p>
    <w:sectPr w:rsidR="00687A89" w:rsidSect="00687A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6C2" w:rsidRDefault="008806C2" w:rsidP="0004512C">
      <w:pPr>
        <w:spacing w:after="0" w:line="240" w:lineRule="auto"/>
      </w:pPr>
      <w:r>
        <w:separator/>
      </w:r>
    </w:p>
  </w:endnote>
  <w:endnote w:type="continuationSeparator" w:id="1">
    <w:p w:rsidR="008806C2" w:rsidRDefault="008806C2" w:rsidP="0004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Default="0004512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Default="0004512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Default="0004512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6C2" w:rsidRDefault="008806C2" w:rsidP="0004512C">
      <w:pPr>
        <w:spacing w:after="0" w:line="240" w:lineRule="auto"/>
      </w:pPr>
      <w:r>
        <w:separator/>
      </w:r>
    </w:p>
  </w:footnote>
  <w:footnote w:type="continuationSeparator" w:id="1">
    <w:p w:rsidR="008806C2" w:rsidRDefault="008806C2" w:rsidP="0004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Default="0004512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Pr="0004512C" w:rsidRDefault="0004512C" w:rsidP="0004512C">
    <w:pPr>
      <w:pStyle w:val="Intestazione"/>
      <w:jc w:val="center"/>
      <w:rPr>
        <w:b/>
      </w:rPr>
    </w:pPr>
    <w:r w:rsidRPr="0004512C">
      <w:rPr>
        <w:b/>
      </w:rPr>
      <w:t>PUBBLICAZIONI RECENTI: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12C" w:rsidRDefault="0004512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D5A88"/>
    <w:multiLevelType w:val="hybridMultilevel"/>
    <w:tmpl w:val="ECC011CE"/>
    <w:lvl w:ilvl="0" w:tplc="FFFFFFFF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72F"/>
    <w:rsid w:val="0004512C"/>
    <w:rsid w:val="0055772F"/>
    <w:rsid w:val="00687A89"/>
    <w:rsid w:val="0088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7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0451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4512C"/>
  </w:style>
  <w:style w:type="paragraph" w:styleId="Pidipagina">
    <w:name w:val="footer"/>
    <w:basedOn w:val="Normale"/>
    <w:link w:val="PidipaginaCarattere"/>
    <w:uiPriority w:val="99"/>
    <w:semiHidden/>
    <w:unhideWhenUsed/>
    <w:rsid w:val="000451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45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2009-02-16T23:04:00Z</dcterms:created>
  <dcterms:modified xsi:type="dcterms:W3CDTF">2009-02-16T23:10:00Z</dcterms:modified>
</cp:coreProperties>
</file>