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B90" w:rsidRPr="0056135E" w:rsidRDefault="00691241" w:rsidP="00412B90">
      <w:pPr>
        <w:pStyle w:val="Risultato"/>
        <w:tabs>
          <w:tab w:val="clear" w:pos="720"/>
        </w:tabs>
        <w:ind w:left="0" w:firstLine="0"/>
        <w:rPr>
          <w:rFonts w:ascii="Times New Roman" w:hAnsi="Times New Roman"/>
          <w:b/>
          <w:szCs w:val="22"/>
          <w:u w:val="single"/>
        </w:rPr>
      </w:pPr>
      <w:r w:rsidRPr="00691241">
        <w:rPr>
          <w:rFonts w:ascii="Times New Roman" w:hAnsi="Times New Roman"/>
          <w:b/>
          <w:smallCaps/>
          <w:szCs w:val="22"/>
        </w:rPr>
        <w:pict>
          <v:rect id="_x0000_i1025" style="width:0;height:1.5pt" o:hralign="center" o:hrstd="t" o:hr="t" fillcolor="#aca899" stroked="f"/>
        </w:pict>
      </w:r>
    </w:p>
    <w:p w:rsidR="00412B90" w:rsidRPr="0056135E" w:rsidRDefault="00412B90" w:rsidP="00412B90">
      <w:pPr>
        <w:pStyle w:val="Risultato"/>
        <w:tabs>
          <w:tab w:val="clear" w:pos="720"/>
        </w:tabs>
        <w:ind w:left="0" w:firstLine="0"/>
        <w:jc w:val="left"/>
        <w:rPr>
          <w:rFonts w:ascii="Times New Roman" w:hAnsi="Times New Roman"/>
          <w:b/>
          <w:smallCaps/>
          <w:szCs w:val="22"/>
        </w:rPr>
      </w:pPr>
      <w:r w:rsidRPr="0056135E">
        <w:rPr>
          <w:rFonts w:ascii="Times New Roman" w:hAnsi="Times New Roman"/>
          <w:b/>
          <w:smallCaps/>
          <w:szCs w:val="22"/>
        </w:rPr>
        <w:t>Pubblicazioni scientifiche</w:t>
      </w:r>
    </w:p>
    <w:p w:rsidR="00412B90" w:rsidRDefault="00412B90" w:rsidP="00412B90">
      <w:pPr>
        <w:pStyle w:val="Risultato"/>
        <w:tabs>
          <w:tab w:val="clear" w:pos="720"/>
        </w:tabs>
        <w:ind w:left="0" w:firstLine="0"/>
        <w:rPr>
          <w:rFonts w:ascii="Times New Roman" w:hAnsi="Times New Roman"/>
          <w:szCs w:val="22"/>
        </w:rPr>
      </w:pPr>
    </w:p>
    <w:p w:rsidR="00412B90" w:rsidRPr="0056135E" w:rsidRDefault="00412B90" w:rsidP="00412B90">
      <w:pPr>
        <w:pStyle w:val="Risulta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ind w:left="480" w:firstLine="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b/>
          <w:smallCaps/>
          <w:szCs w:val="22"/>
        </w:rPr>
        <w:t>Monografie</w:t>
      </w:r>
      <w:r w:rsidRPr="0056135E">
        <w:rPr>
          <w:rFonts w:ascii="Times New Roman" w:hAnsi="Times New Roman"/>
          <w:szCs w:val="22"/>
        </w:rPr>
        <w:t>: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i/>
          <w:szCs w:val="22"/>
        </w:rPr>
      </w:pP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Architettura romanica in Umbria. Edifici di culto tra la fine del X e gli inizi del XIII secolo</w:t>
      </w:r>
      <w:r w:rsidRPr="0056135E">
        <w:rPr>
          <w:rFonts w:ascii="Times New Roman" w:hAnsi="Times New Roman"/>
          <w:szCs w:val="22"/>
        </w:rPr>
        <w:t xml:space="preserve"> (</w:t>
      </w:r>
      <w:proofErr w:type="spellStart"/>
      <w:r w:rsidRPr="0056135E">
        <w:rPr>
          <w:rFonts w:ascii="Times New Roman" w:hAnsi="Times New Roman"/>
          <w:szCs w:val="22"/>
        </w:rPr>
        <w:t>Università-strumenti</w:t>
      </w:r>
      <w:proofErr w:type="spellEnd"/>
      <w:r w:rsidRPr="0056135E">
        <w:rPr>
          <w:rFonts w:ascii="Times New Roman" w:hAnsi="Times New Roman"/>
          <w:szCs w:val="22"/>
        </w:rPr>
        <w:t xml:space="preserve">, 34), ed. Kappa, Roma 2000, pp. 189, figg. 138, </w:t>
      </w:r>
      <w:proofErr w:type="spellStart"/>
      <w:r w:rsidRPr="0056135E">
        <w:rPr>
          <w:rFonts w:ascii="Times New Roman" w:hAnsi="Times New Roman"/>
          <w:szCs w:val="22"/>
        </w:rPr>
        <w:t>tavv</w:t>
      </w:r>
      <w:proofErr w:type="spellEnd"/>
      <w:r w:rsidRPr="0056135E">
        <w:rPr>
          <w:rFonts w:ascii="Times New Roman" w:hAnsi="Times New Roman"/>
          <w:szCs w:val="22"/>
        </w:rPr>
        <w:t>. 50.</w:t>
      </w:r>
    </w:p>
    <w:p w:rsidR="00412B90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I palazzi del papa.</w:t>
      </w:r>
      <w:r w:rsidRPr="0056135E">
        <w:rPr>
          <w:rFonts w:ascii="Times New Roman" w:hAnsi="Times New Roman"/>
          <w:szCs w:val="22"/>
        </w:rPr>
        <w:t xml:space="preserve"> </w:t>
      </w:r>
      <w:r w:rsidRPr="0056135E">
        <w:rPr>
          <w:rFonts w:ascii="Times New Roman" w:hAnsi="Times New Roman"/>
          <w:i/>
          <w:szCs w:val="22"/>
        </w:rPr>
        <w:t>Architettura e ideologia: il Duecento</w:t>
      </w:r>
      <w:r w:rsidRPr="0056135E">
        <w:rPr>
          <w:rFonts w:ascii="Times New Roman" w:hAnsi="Times New Roman"/>
          <w:szCs w:val="22"/>
        </w:rPr>
        <w:t xml:space="preserve"> (La corte dei papi, 11), ed. </w:t>
      </w:r>
      <w:proofErr w:type="spellStart"/>
      <w:r w:rsidRPr="0056135E">
        <w:rPr>
          <w:rFonts w:ascii="Times New Roman" w:hAnsi="Times New Roman"/>
          <w:szCs w:val="22"/>
        </w:rPr>
        <w:t>Viella</w:t>
      </w:r>
      <w:proofErr w:type="spellEnd"/>
      <w:r w:rsidRPr="0056135E">
        <w:rPr>
          <w:rFonts w:ascii="Times New Roman" w:hAnsi="Times New Roman"/>
          <w:szCs w:val="22"/>
        </w:rPr>
        <w:t>, Roma 2003, pp. 278, figg. 101.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>
        <w:rPr>
          <w:rFonts w:ascii="Times New Roman" w:hAnsi="Times New Roman"/>
          <w:i/>
          <w:szCs w:val="22"/>
        </w:rPr>
        <w:t xml:space="preserve">      </w:t>
      </w:r>
      <w:r>
        <w:rPr>
          <w:rFonts w:ascii="Times New Roman" w:hAnsi="Times New Roman"/>
          <w:i/>
          <w:szCs w:val="22"/>
        </w:rPr>
        <w:tab/>
        <w:t>Romanico in Umbria. L’architettura sacra nel contesto</w:t>
      </w:r>
      <w:r>
        <w:rPr>
          <w:rFonts w:ascii="Times New Roman" w:hAnsi="Times New Roman"/>
          <w:szCs w:val="22"/>
        </w:rPr>
        <w:t>, Edizioni Kappa, Roma 2013.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</w:p>
    <w:p w:rsidR="00412B90" w:rsidRPr="0056135E" w:rsidRDefault="00412B90" w:rsidP="00412B90">
      <w:pPr>
        <w:pStyle w:val="Risulta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ind w:left="480" w:firstLine="0"/>
        <w:rPr>
          <w:rFonts w:ascii="Times New Roman" w:hAnsi="Times New Roman"/>
          <w:b/>
          <w:smallCaps/>
          <w:szCs w:val="22"/>
        </w:rPr>
      </w:pPr>
      <w:r w:rsidRPr="0056135E">
        <w:rPr>
          <w:rFonts w:ascii="Times New Roman" w:hAnsi="Times New Roman"/>
          <w:b/>
          <w:smallCaps/>
          <w:szCs w:val="22"/>
        </w:rPr>
        <w:t xml:space="preserve">Articoli e saggi per riviste scientifiche, atti di convegni, </w:t>
      </w:r>
    </w:p>
    <w:p w:rsidR="00412B90" w:rsidRPr="0056135E" w:rsidRDefault="00412B90" w:rsidP="00412B90">
      <w:pPr>
        <w:pStyle w:val="Risulta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ind w:left="480" w:firstLine="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b/>
          <w:smallCaps/>
          <w:szCs w:val="22"/>
        </w:rPr>
        <w:t>volumi miscellanei</w:t>
      </w:r>
      <w:r w:rsidRPr="0056135E">
        <w:rPr>
          <w:rFonts w:ascii="Times New Roman" w:hAnsi="Times New Roman"/>
          <w:szCs w:val="22"/>
        </w:rPr>
        <w:t>: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i/>
          <w:szCs w:val="22"/>
        </w:rPr>
      </w:pP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La Casa della Congregazione dei Padri della Missione in Montecitorio</w:t>
      </w:r>
      <w:r w:rsidRPr="0056135E">
        <w:rPr>
          <w:rFonts w:ascii="Times New Roman" w:hAnsi="Times New Roman"/>
          <w:szCs w:val="22"/>
        </w:rPr>
        <w:t xml:space="preserve">, in </w:t>
      </w:r>
      <w:r w:rsidRPr="0056135E">
        <w:rPr>
          <w:rFonts w:ascii="Times New Roman" w:hAnsi="Times New Roman"/>
          <w:i/>
          <w:szCs w:val="22"/>
        </w:rPr>
        <w:t>Roma Borghese, case e palazzetti d’affitto</w:t>
      </w:r>
      <w:r w:rsidRPr="0056135E">
        <w:rPr>
          <w:rFonts w:ascii="Times New Roman" w:hAnsi="Times New Roman"/>
          <w:szCs w:val="22"/>
        </w:rPr>
        <w:t xml:space="preserve"> (Studi sul Settecento romano, 10), Roma 1994, I, pp. 187-200.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L’abbazia di S. Benedetto al Subasio. Spunti per un’analisi tipologica dell’architettura romanica in Umbria</w:t>
      </w:r>
      <w:r w:rsidRPr="0056135E">
        <w:rPr>
          <w:rFonts w:ascii="Times New Roman" w:hAnsi="Times New Roman"/>
          <w:szCs w:val="22"/>
        </w:rPr>
        <w:t>, “Arte Medievale”, s. II, a. IX, 1 (1995), pp. 121-136.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 xml:space="preserve">Cripte </w:t>
      </w:r>
      <w:proofErr w:type="spellStart"/>
      <w:r w:rsidRPr="0056135E">
        <w:rPr>
          <w:rFonts w:ascii="Times New Roman" w:hAnsi="Times New Roman"/>
          <w:i/>
          <w:szCs w:val="22"/>
        </w:rPr>
        <w:t>mono-triastili</w:t>
      </w:r>
      <w:proofErr w:type="spellEnd"/>
      <w:r w:rsidRPr="0056135E">
        <w:rPr>
          <w:rFonts w:ascii="Times New Roman" w:hAnsi="Times New Roman"/>
          <w:i/>
          <w:szCs w:val="22"/>
        </w:rPr>
        <w:t xml:space="preserve"> tra Umbria e Marche</w:t>
      </w:r>
      <w:r w:rsidRPr="0056135E">
        <w:rPr>
          <w:rFonts w:ascii="Times New Roman" w:hAnsi="Times New Roman"/>
          <w:szCs w:val="22"/>
        </w:rPr>
        <w:t xml:space="preserve">, in </w:t>
      </w:r>
      <w:r w:rsidRPr="0056135E">
        <w:rPr>
          <w:rFonts w:ascii="Times New Roman" w:hAnsi="Times New Roman"/>
          <w:i/>
          <w:szCs w:val="22"/>
        </w:rPr>
        <w:t>L’Appennino dall’età romana al Medioevo. Società, territorio, cultura</w:t>
      </w:r>
      <w:r w:rsidRPr="0056135E">
        <w:rPr>
          <w:rFonts w:ascii="Times New Roman" w:hAnsi="Times New Roman"/>
          <w:szCs w:val="22"/>
        </w:rPr>
        <w:t xml:space="preserve"> «Atti del convegno, </w:t>
      </w:r>
      <w:proofErr w:type="spellStart"/>
      <w:r w:rsidRPr="0056135E">
        <w:rPr>
          <w:rFonts w:ascii="Times New Roman" w:hAnsi="Times New Roman"/>
          <w:szCs w:val="22"/>
        </w:rPr>
        <w:t>Frontino-convento</w:t>
      </w:r>
      <w:proofErr w:type="spellEnd"/>
      <w:r w:rsidRPr="0056135E">
        <w:rPr>
          <w:rFonts w:ascii="Times New Roman" w:hAnsi="Times New Roman"/>
          <w:szCs w:val="22"/>
        </w:rPr>
        <w:t xml:space="preserve"> di </w:t>
      </w:r>
      <w:proofErr w:type="spellStart"/>
      <w:r w:rsidRPr="0056135E">
        <w:rPr>
          <w:rFonts w:ascii="Times New Roman" w:hAnsi="Times New Roman"/>
          <w:szCs w:val="22"/>
        </w:rPr>
        <w:t>Montefiorentino</w:t>
      </w:r>
      <w:proofErr w:type="spellEnd"/>
      <w:r w:rsidRPr="0056135E">
        <w:rPr>
          <w:rFonts w:ascii="Times New Roman" w:hAnsi="Times New Roman"/>
          <w:szCs w:val="22"/>
        </w:rPr>
        <w:t xml:space="preserve">, 17 settembre 1994» (Studi </w:t>
      </w:r>
      <w:proofErr w:type="spellStart"/>
      <w:r w:rsidRPr="0056135E">
        <w:rPr>
          <w:rFonts w:ascii="Times New Roman" w:hAnsi="Times New Roman"/>
          <w:szCs w:val="22"/>
        </w:rPr>
        <w:t>Montefeltrani</w:t>
      </w:r>
      <w:proofErr w:type="spellEnd"/>
      <w:r w:rsidRPr="0056135E">
        <w:rPr>
          <w:rFonts w:ascii="Times New Roman" w:hAnsi="Times New Roman"/>
          <w:szCs w:val="22"/>
        </w:rPr>
        <w:t>, 5), 1997, pp. 135-151.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La cattedrale di Velletri: considerazioni preliminari sulle strutture architettoniche medievali</w:t>
      </w:r>
      <w:r w:rsidRPr="0056135E">
        <w:rPr>
          <w:rFonts w:ascii="Times New Roman" w:hAnsi="Times New Roman"/>
          <w:szCs w:val="22"/>
        </w:rPr>
        <w:t xml:space="preserve">, in </w:t>
      </w:r>
      <w:r w:rsidRPr="0056135E">
        <w:rPr>
          <w:rFonts w:ascii="Times New Roman" w:hAnsi="Times New Roman"/>
          <w:i/>
          <w:szCs w:val="22"/>
        </w:rPr>
        <w:t>Arte d’Occidente. Temi e metodi</w:t>
      </w:r>
      <w:r w:rsidRPr="0056135E">
        <w:rPr>
          <w:rFonts w:ascii="Times New Roman" w:hAnsi="Times New Roman"/>
          <w:szCs w:val="22"/>
        </w:rPr>
        <w:t xml:space="preserve">, “Studi in onore di </w:t>
      </w:r>
      <w:proofErr w:type="spellStart"/>
      <w:r w:rsidRPr="0056135E">
        <w:rPr>
          <w:rFonts w:ascii="Times New Roman" w:hAnsi="Times New Roman"/>
          <w:szCs w:val="22"/>
        </w:rPr>
        <w:t>Angiola</w:t>
      </w:r>
      <w:proofErr w:type="spellEnd"/>
      <w:r w:rsidRPr="0056135E">
        <w:rPr>
          <w:rFonts w:ascii="Times New Roman" w:hAnsi="Times New Roman"/>
          <w:szCs w:val="22"/>
        </w:rPr>
        <w:t xml:space="preserve"> Maria </w:t>
      </w:r>
      <w:proofErr w:type="spellStart"/>
      <w:r w:rsidRPr="0056135E">
        <w:rPr>
          <w:rFonts w:ascii="Times New Roman" w:hAnsi="Times New Roman"/>
          <w:szCs w:val="22"/>
        </w:rPr>
        <w:t>Romanini</w:t>
      </w:r>
      <w:proofErr w:type="spellEnd"/>
      <w:r w:rsidRPr="0056135E">
        <w:rPr>
          <w:rFonts w:ascii="Times New Roman" w:hAnsi="Times New Roman"/>
          <w:szCs w:val="22"/>
        </w:rPr>
        <w:t>”, Roma 1999, I, pp. 123-129.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Sono chiese da primato</w:t>
      </w:r>
      <w:r w:rsidRPr="0056135E">
        <w:rPr>
          <w:rFonts w:ascii="Times New Roman" w:hAnsi="Times New Roman"/>
          <w:szCs w:val="22"/>
        </w:rPr>
        <w:t>, “Medioevo”, IV, 1(36), 2000, pp. 43-50.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La costruzione del palazzo papale di Viterbo e il suo ruolo urbanistico nella formazione della piazza della cattedrale</w:t>
      </w:r>
      <w:r w:rsidRPr="0056135E">
        <w:rPr>
          <w:rFonts w:ascii="Times New Roman" w:hAnsi="Times New Roman"/>
          <w:szCs w:val="22"/>
        </w:rPr>
        <w:t xml:space="preserve">, in </w:t>
      </w:r>
      <w:r w:rsidRPr="0056135E">
        <w:rPr>
          <w:rFonts w:ascii="Times New Roman" w:hAnsi="Times New Roman"/>
          <w:i/>
          <w:szCs w:val="22"/>
        </w:rPr>
        <w:t xml:space="preserve">Dal </w:t>
      </w:r>
      <w:proofErr w:type="spellStart"/>
      <w:r w:rsidRPr="0056135E">
        <w:rPr>
          <w:rFonts w:ascii="Times New Roman" w:hAnsi="Times New Roman"/>
          <w:i/>
          <w:szCs w:val="22"/>
        </w:rPr>
        <w:t>castrum</w:t>
      </w:r>
      <w:proofErr w:type="spellEnd"/>
      <w:r w:rsidRPr="0056135E">
        <w:rPr>
          <w:rFonts w:ascii="Times New Roman" w:hAnsi="Times New Roman"/>
          <w:i/>
          <w:szCs w:val="22"/>
        </w:rPr>
        <w:t xml:space="preserve"> </w:t>
      </w:r>
      <w:proofErr w:type="spellStart"/>
      <w:r w:rsidRPr="0056135E">
        <w:rPr>
          <w:rFonts w:ascii="Times New Roman" w:hAnsi="Times New Roman"/>
          <w:i/>
          <w:szCs w:val="22"/>
        </w:rPr>
        <w:t>Viterbii</w:t>
      </w:r>
      <w:proofErr w:type="spellEnd"/>
      <w:r w:rsidRPr="0056135E">
        <w:rPr>
          <w:rFonts w:ascii="Times New Roman" w:hAnsi="Times New Roman"/>
          <w:i/>
          <w:szCs w:val="22"/>
        </w:rPr>
        <w:t xml:space="preserve"> alla </w:t>
      </w:r>
      <w:proofErr w:type="spellStart"/>
      <w:r w:rsidRPr="0056135E">
        <w:rPr>
          <w:rFonts w:ascii="Times New Roman" w:hAnsi="Times New Roman"/>
          <w:i/>
          <w:szCs w:val="22"/>
        </w:rPr>
        <w:t>civitas</w:t>
      </w:r>
      <w:proofErr w:type="spellEnd"/>
      <w:r w:rsidRPr="0056135E">
        <w:rPr>
          <w:rFonts w:ascii="Times New Roman" w:hAnsi="Times New Roman"/>
          <w:i/>
          <w:szCs w:val="22"/>
        </w:rPr>
        <w:t xml:space="preserve"> </w:t>
      </w:r>
      <w:proofErr w:type="spellStart"/>
      <w:r w:rsidRPr="0056135E">
        <w:rPr>
          <w:rFonts w:ascii="Times New Roman" w:hAnsi="Times New Roman"/>
          <w:i/>
          <w:szCs w:val="22"/>
        </w:rPr>
        <w:t>pontificum</w:t>
      </w:r>
      <w:proofErr w:type="spellEnd"/>
      <w:r w:rsidRPr="0056135E">
        <w:rPr>
          <w:rFonts w:ascii="Times New Roman" w:hAnsi="Times New Roman"/>
          <w:i/>
          <w:szCs w:val="22"/>
        </w:rPr>
        <w:t>. Arte e architettura a Viterbo dal IX al XIII secolo</w:t>
      </w:r>
      <w:r w:rsidRPr="0056135E">
        <w:rPr>
          <w:rFonts w:ascii="Times New Roman" w:hAnsi="Times New Roman"/>
          <w:szCs w:val="22"/>
        </w:rPr>
        <w:t xml:space="preserve">, Atti del Convegno di Studi (Università della </w:t>
      </w:r>
      <w:proofErr w:type="spellStart"/>
      <w:r w:rsidRPr="0056135E">
        <w:rPr>
          <w:rFonts w:ascii="Times New Roman" w:hAnsi="Times New Roman"/>
          <w:szCs w:val="22"/>
        </w:rPr>
        <w:t>Tuscia</w:t>
      </w:r>
      <w:proofErr w:type="spellEnd"/>
      <w:r w:rsidRPr="0056135E">
        <w:rPr>
          <w:rFonts w:ascii="Times New Roman" w:hAnsi="Times New Roman"/>
          <w:szCs w:val="22"/>
        </w:rPr>
        <w:t xml:space="preserve"> - Viterbo 21-22 aprile 2005), pp. 89-104.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San Felice Circeo</w:t>
      </w:r>
      <w:r w:rsidRPr="0056135E">
        <w:rPr>
          <w:rFonts w:ascii="Times New Roman" w:hAnsi="Times New Roman"/>
          <w:szCs w:val="22"/>
        </w:rPr>
        <w:t xml:space="preserve">, in </w:t>
      </w:r>
      <w:r w:rsidRPr="0056135E">
        <w:rPr>
          <w:rFonts w:ascii="Times New Roman" w:hAnsi="Times New Roman"/>
          <w:i/>
          <w:szCs w:val="22"/>
        </w:rPr>
        <w:t>Lazio. Una regione da scoprire</w:t>
      </w:r>
      <w:r w:rsidRPr="0056135E">
        <w:rPr>
          <w:rFonts w:ascii="Times New Roman" w:hAnsi="Times New Roman"/>
          <w:szCs w:val="22"/>
        </w:rPr>
        <w:t xml:space="preserve"> (Biblioteca regionale illustrata, 8), Roma 2006, pp. 42-47.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“</w:t>
      </w:r>
      <w:proofErr w:type="spellStart"/>
      <w:r w:rsidRPr="0056135E">
        <w:rPr>
          <w:rFonts w:ascii="Times New Roman" w:hAnsi="Times New Roman"/>
          <w:i/>
          <w:szCs w:val="22"/>
        </w:rPr>
        <w:t>Anagni</w:t>
      </w:r>
      <w:proofErr w:type="spellEnd"/>
      <w:r w:rsidRPr="0056135E">
        <w:rPr>
          <w:rFonts w:ascii="Times New Roman" w:hAnsi="Times New Roman"/>
          <w:i/>
          <w:szCs w:val="22"/>
        </w:rPr>
        <w:t xml:space="preserve"> città papale”.</w:t>
      </w:r>
      <w:r w:rsidRPr="0056135E">
        <w:rPr>
          <w:rFonts w:ascii="Times New Roman" w:hAnsi="Times New Roman"/>
          <w:szCs w:val="22"/>
        </w:rPr>
        <w:t xml:space="preserve"> </w:t>
      </w:r>
      <w:r w:rsidRPr="0056135E">
        <w:rPr>
          <w:rFonts w:ascii="Times New Roman" w:hAnsi="Times New Roman"/>
          <w:i/>
          <w:szCs w:val="22"/>
        </w:rPr>
        <w:t>Considerazioni sulle tipologie di insediamento della Curia pontificia nelle città dello Stato della Chiesa</w:t>
      </w:r>
      <w:r w:rsidRPr="0056135E">
        <w:rPr>
          <w:rFonts w:ascii="Times New Roman" w:hAnsi="Times New Roman"/>
          <w:szCs w:val="22"/>
        </w:rPr>
        <w:t>, in «Bollettino d’Arte», numero speciale 2006, 179-185.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Il Gotico nella cultura architettonica della Curia pontificia: gli edifici residenziali</w:t>
      </w:r>
      <w:r w:rsidRPr="0056135E">
        <w:rPr>
          <w:rFonts w:ascii="Times New Roman" w:hAnsi="Times New Roman"/>
          <w:szCs w:val="22"/>
        </w:rPr>
        <w:t xml:space="preserve">, in </w:t>
      </w:r>
      <w:r w:rsidRPr="0056135E">
        <w:rPr>
          <w:rFonts w:ascii="Times New Roman" w:hAnsi="Times New Roman"/>
          <w:i/>
          <w:szCs w:val="22"/>
        </w:rPr>
        <w:t>Arnolfo di Cambio e la sua epoca: costruire, scolpire, dipingere, decorare</w:t>
      </w:r>
      <w:r w:rsidRPr="0056135E">
        <w:rPr>
          <w:rFonts w:ascii="Times New Roman" w:hAnsi="Times New Roman"/>
          <w:szCs w:val="22"/>
        </w:rPr>
        <w:t xml:space="preserve"> (Atti del Convegno Internazionale di Studi, </w:t>
      </w:r>
      <w:proofErr w:type="spellStart"/>
      <w:r w:rsidRPr="0056135E">
        <w:rPr>
          <w:rFonts w:ascii="Times New Roman" w:hAnsi="Times New Roman"/>
          <w:szCs w:val="22"/>
        </w:rPr>
        <w:t>Firenze-Colle</w:t>
      </w:r>
      <w:proofErr w:type="spellEnd"/>
      <w:r w:rsidRPr="0056135E">
        <w:rPr>
          <w:rFonts w:ascii="Times New Roman" w:hAnsi="Times New Roman"/>
          <w:szCs w:val="22"/>
        </w:rPr>
        <w:t xml:space="preserve"> di </w:t>
      </w:r>
      <w:proofErr w:type="spellStart"/>
      <w:r w:rsidRPr="0056135E">
        <w:rPr>
          <w:rFonts w:ascii="Times New Roman" w:hAnsi="Times New Roman"/>
          <w:szCs w:val="22"/>
        </w:rPr>
        <w:t>Val</w:t>
      </w:r>
      <w:proofErr w:type="spellEnd"/>
      <w:r w:rsidRPr="0056135E">
        <w:rPr>
          <w:rFonts w:ascii="Times New Roman" w:hAnsi="Times New Roman"/>
          <w:szCs w:val="22"/>
        </w:rPr>
        <w:t xml:space="preserve"> d’Elsa 7-10 marzo 2006), a cura di V. </w:t>
      </w:r>
      <w:proofErr w:type="spellStart"/>
      <w:r w:rsidRPr="0056135E">
        <w:rPr>
          <w:rFonts w:ascii="Times New Roman" w:hAnsi="Times New Roman"/>
          <w:szCs w:val="22"/>
        </w:rPr>
        <w:t>Franchetti</w:t>
      </w:r>
      <w:proofErr w:type="spellEnd"/>
      <w:r w:rsidRPr="0056135E">
        <w:rPr>
          <w:rFonts w:ascii="Times New Roman" w:hAnsi="Times New Roman"/>
          <w:szCs w:val="22"/>
        </w:rPr>
        <w:t xml:space="preserve"> Pardo, Roma 2007, pp. 221-230.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Cantieri vescovili e papali nell’assetto urbanistico della città duecentesca</w:t>
      </w:r>
      <w:r w:rsidRPr="0056135E">
        <w:rPr>
          <w:rFonts w:ascii="Times New Roman" w:hAnsi="Times New Roman"/>
          <w:szCs w:val="22"/>
        </w:rPr>
        <w:t xml:space="preserve">, in </w:t>
      </w:r>
      <w:r w:rsidRPr="0056135E">
        <w:rPr>
          <w:rFonts w:ascii="Times New Roman" w:hAnsi="Times New Roman"/>
          <w:i/>
          <w:szCs w:val="22"/>
        </w:rPr>
        <w:t>Medioevo: la chiesa e il palazzo</w:t>
      </w:r>
      <w:r w:rsidRPr="0056135E">
        <w:rPr>
          <w:rFonts w:ascii="Times New Roman" w:hAnsi="Times New Roman"/>
          <w:szCs w:val="22"/>
        </w:rPr>
        <w:t>, Atti dell’</w:t>
      </w:r>
      <w:proofErr w:type="spellStart"/>
      <w:r w:rsidRPr="0056135E">
        <w:rPr>
          <w:rFonts w:ascii="Times New Roman" w:hAnsi="Times New Roman"/>
          <w:szCs w:val="22"/>
        </w:rPr>
        <w:t>VIII</w:t>
      </w:r>
      <w:proofErr w:type="spellEnd"/>
      <w:r w:rsidRPr="0056135E">
        <w:rPr>
          <w:rFonts w:ascii="Times New Roman" w:hAnsi="Times New Roman"/>
          <w:szCs w:val="22"/>
        </w:rPr>
        <w:t xml:space="preserve"> Convegno Internazionale di Studi medievali dell’Università di Parma (Parma, 20-24 settembre 2005), a cura di </w:t>
      </w:r>
      <w:proofErr w:type="spellStart"/>
      <w:r w:rsidRPr="0056135E">
        <w:rPr>
          <w:rFonts w:ascii="Times New Roman" w:hAnsi="Times New Roman"/>
          <w:szCs w:val="22"/>
        </w:rPr>
        <w:t>A.C.</w:t>
      </w:r>
      <w:proofErr w:type="spellEnd"/>
      <w:r w:rsidRPr="0056135E">
        <w:rPr>
          <w:rFonts w:ascii="Times New Roman" w:hAnsi="Times New Roman"/>
          <w:szCs w:val="22"/>
        </w:rPr>
        <w:t xml:space="preserve"> </w:t>
      </w:r>
      <w:proofErr w:type="spellStart"/>
      <w:r w:rsidRPr="0056135E">
        <w:rPr>
          <w:rFonts w:ascii="Times New Roman" w:hAnsi="Times New Roman"/>
          <w:szCs w:val="22"/>
        </w:rPr>
        <w:t>Quintavalle</w:t>
      </w:r>
      <w:proofErr w:type="spellEnd"/>
      <w:r w:rsidRPr="0056135E">
        <w:rPr>
          <w:rFonts w:ascii="Times New Roman" w:hAnsi="Times New Roman"/>
          <w:szCs w:val="22"/>
        </w:rPr>
        <w:t>, Milano 2007, pp. 636-643.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Orvieto nel Duecento: la città durante il soggiorno della corte pontificia e angioina</w:t>
      </w:r>
      <w:r w:rsidRPr="0056135E">
        <w:rPr>
          <w:rFonts w:ascii="Times New Roman" w:hAnsi="Times New Roman"/>
          <w:szCs w:val="22"/>
        </w:rPr>
        <w:t xml:space="preserve">, in </w:t>
      </w:r>
      <w:r w:rsidRPr="0056135E">
        <w:rPr>
          <w:rFonts w:ascii="Times New Roman" w:hAnsi="Times New Roman"/>
          <w:i/>
          <w:szCs w:val="22"/>
        </w:rPr>
        <w:t xml:space="preserve">Il monumento del cardinal Guillaume De </w:t>
      </w:r>
      <w:proofErr w:type="spellStart"/>
      <w:r w:rsidRPr="0056135E">
        <w:rPr>
          <w:rFonts w:ascii="Times New Roman" w:hAnsi="Times New Roman"/>
          <w:i/>
          <w:szCs w:val="22"/>
        </w:rPr>
        <w:t>Braye</w:t>
      </w:r>
      <w:proofErr w:type="spellEnd"/>
      <w:r w:rsidRPr="0056135E">
        <w:rPr>
          <w:rFonts w:ascii="Times New Roman" w:hAnsi="Times New Roman"/>
          <w:i/>
          <w:szCs w:val="22"/>
        </w:rPr>
        <w:t xml:space="preserve"> di Arnolfo di Cambio dopo il restauro</w:t>
      </w:r>
      <w:r w:rsidRPr="0056135E">
        <w:rPr>
          <w:rFonts w:ascii="Times New Roman" w:hAnsi="Times New Roman"/>
          <w:szCs w:val="22"/>
        </w:rPr>
        <w:t xml:space="preserve">, Atti del Convegno Internazionale di Studi (Ministero dei Beni e delle Attività Culturali, </w:t>
      </w:r>
      <w:proofErr w:type="spellStart"/>
      <w:r w:rsidRPr="0056135E">
        <w:rPr>
          <w:rFonts w:ascii="Times New Roman" w:hAnsi="Times New Roman"/>
          <w:szCs w:val="22"/>
        </w:rPr>
        <w:t>Roma-Orvieto</w:t>
      </w:r>
      <w:proofErr w:type="spellEnd"/>
      <w:r w:rsidRPr="0056135E">
        <w:rPr>
          <w:rFonts w:ascii="Times New Roman" w:hAnsi="Times New Roman"/>
          <w:szCs w:val="22"/>
        </w:rPr>
        <w:t xml:space="preserve"> 9-11 dicembre 2004), in «Bollettino d’Arte», volume speciale, Roma 2011, pp. 307-318.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5" w:hanging="675"/>
        <w:rPr>
          <w:rFonts w:ascii="Times New Roman" w:hAnsi="Times New Roman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</w:r>
      <w:r w:rsidRPr="0056135E">
        <w:rPr>
          <w:rFonts w:ascii="Times New Roman" w:hAnsi="Times New Roman"/>
          <w:i/>
        </w:rPr>
        <w:t xml:space="preserve">Dai Benedettini ai Cistercensi : l'architettura dell'abbazia di San Salvatore a </w:t>
      </w:r>
      <w:proofErr w:type="spellStart"/>
      <w:r w:rsidRPr="0056135E">
        <w:rPr>
          <w:rFonts w:ascii="Times New Roman" w:hAnsi="Times New Roman"/>
          <w:i/>
        </w:rPr>
        <w:t>Montecorona</w:t>
      </w:r>
      <w:proofErr w:type="spellEnd"/>
      <w:r w:rsidRPr="0056135E">
        <w:rPr>
          <w:rFonts w:ascii="Times New Roman" w:hAnsi="Times New Roman"/>
          <w:i/>
        </w:rPr>
        <w:t xml:space="preserve"> nel'Umbria romanica</w:t>
      </w:r>
      <w:r w:rsidRPr="0056135E">
        <w:rPr>
          <w:rFonts w:ascii="Times New Roman" w:hAnsi="Times New Roman"/>
        </w:rPr>
        <w:t xml:space="preserve">, Atti del Convegno di Studi su </w:t>
      </w:r>
      <w:r w:rsidRPr="0056135E">
        <w:rPr>
          <w:rFonts w:ascii="Times New Roman" w:hAnsi="Times New Roman"/>
          <w:i/>
        </w:rPr>
        <w:t xml:space="preserve">L'abbazia di San Salvatore di </w:t>
      </w:r>
      <w:proofErr w:type="spellStart"/>
      <w:r w:rsidRPr="0056135E">
        <w:rPr>
          <w:rFonts w:ascii="Times New Roman" w:hAnsi="Times New Roman"/>
          <w:i/>
        </w:rPr>
        <w:lastRenderedPageBreak/>
        <w:t>Montecorona</w:t>
      </w:r>
      <w:proofErr w:type="spellEnd"/>
      <w:r w:rsidRPr="0056135E">
        <w:rPr>
          <w:rFonts w:ascii="Times New Roman" w:hAnsi="Times New Roman"/>
          <w:i/>
        </w:rPr>
        <w:t>: un patrimonio millenario di storia e d'arte</w:t>
      </w:r>
      <w:r w:rsidRPr="0056135E">
        <w:rPr>
          <w:rFonts w:ascii="Times New Roman" w:hAnsi="Times New Roman"/>
        </w:rPr>
        <w:t>, a cura di N. D’</w:t>
      </w:r>
      <w:proofErr w:type="spellStart"/>
      <w:r w:rsidRPr="0056135E">
        <w:rPr>
          <w:rFonts w:ascii="Times New Roman" w:hAnsi="Times New Roman"/>
        </w:rPr>
        <w:t>Acunto</w:t>
      </w:r>
      <w:proofErr w:type="spellEnd"/>
      <w:r w:rsidRPr="0056135E">
        <w:rPr>
          <w:rFonts w:ascii="Times New Roman" w:hAnsi="Times New Roman"/>
        </w:rPr>
        <w:t xml:space="preserve"> e M. </w:t>
      </w:r>
      <w:proofErr w:type="spellStart"/>
      <w:r w:rsidRPr="0056135E">
        <w:rPr>
          <w:rFonts w:ascii="Times New Roman" w:hAnsi="Times New Roman"/>
        </w:rPr>
        <w:t>Santanicchia</w:t>
      </w:r>
      <w:proofErr w:type="spellEnd"/>
      <w:r w:rsidRPr="0056135E">
        <w:rPr>
          <w:rFonts w:ascii="Times New Roman" w:hAnsi="Times New Roman"/>
        </w:rPr>
        <w:t>, in «</w:t>
      </w:r>
      <w:hyperlink r:id="rId5" w:history="1">
        <w:r w:rsidRPr="0056135E">
          <w:rPr>
            <w:rFonts w:ascii="Times New Roman" w:hAnsi="Times New Roman"/>
          </w:rPr>
          <w:t>Bollettino della Deputazione di storia patria per l'Umbria», 108 (2011), pp. 185-199</w:t>
        </w:r>
      </w:hyperlink>
      <w:r w:rsidRPr="0056135E">
        <w:rPr>
          <w:rFonts w:ascii="Times New Roman" w:hAnsi="Times New Roman"/>
        </w:rPr>
        <w:t>.</w:t>
      </w:r>
    </w:p>
    <w:p w:rsidR="00412B90" w:rsidRDefault="00412B90" w:rsidP="00412B90">
      <w:pPr>
        <w:pStyle w:val="Risultato"/>
        <w:tabs>
          <w:tab w:val="clear" w:pos="720"/>
        </w:tabs>
        <w:ind w:left="1565" w:hanging="675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Il complesso episcopale di Rieti al tempo di San Francesco,</w:t>
      </w:r>
      <w:r w:rsidRPr="0056135E">
        <w:rPr>
          <w:rFonts w:ascii="Times New Roman" w:hAnsi="Times New Roman"/>
          <w:szCs w:val="22"/>
        </w:rPr>
        <w:t xml:space="preserve"> in</w:t>
      </w:r>
      <w:r w:rsidRPr="0056135E">
        <w:rPr>
          <w:rFonts w:ascii="Times New Roman" w:hAnsi="Times New Roman"/>
        </w:rPr>
        <w:t xml:space="preserve"> </w:t>
      </w:r>
      <w:r w:rsidRPr="0056135E">
        <w:rPr>
          <w:rFonts w:ascii="Times New Roman" w:hAnsi="Times New Roman"/>
          <w:i/>
          <w:szCs w:val="22"/>
        </w:rPr>
        <w:t>Francesco, il Santo. Capolavori nei secoli e dal territorio reatino</w:t>
      </w:r>
      <w:r w:rsidRPr="0056135E">
        <w:rPr>
          <w:rFonts w:ascii="Times New Roman" w:hAnsi="Times New Roman"/>
          <w:szCs w:val="22"/>
        </w:rPr>
        <w:t xml:space="preserve">, Catalogo della mostra, a cura di A. Imponente e M. </w:t>
      </w:r>
      <w:proofErr w:type="spellStart"/>
      <w:r w:rsidRPr="0056135E">
        <w:rPr>
          <w:rFonts w:ascii="Times New Roman" w:hAnsi="Times New Roman"/>
          <w:szCs w:val="22"/>
        </w:rPr>
        <w:t>Nuzzo</w:t>
      </w:r>
      <w:proofErr w:type="spellEnd"/>
      <w:r w:rsidRPr="0056135E">
        <w:rPr>
          <w:rFonts w:ascii="Times New Roman" w:hAnsi="Times New Roman"/>
          <w:szCs w:val="22"/>
        </w:rPr>
        <w:t xml:space="preserve">, </w:t>
      </w:r>
      <w:r w:rsidRPr="00A955DC">
        <w:rPr>
          <w:rFonts w:ascii="Times New Roman" w:hAnsi="Times New Roman"/>
          <w:szCs w:val="22"/>
        </w:rPr>
        <w:t xml:space="preserve">Soprintendenza per i Beni Storici, Artistici ed </w:t>
      </w:r>
      <w:proofErr w:type="spellStart"/>
      <w:r w:rsidRPr="00A955DC">
        <w:rPr>
          <w:rFonts w:ascii="Times New Roman" w:hAnsi="Times New Roman"/>
          <w:szCs w:val="22"/>
        </w:rPr>
        <w:t>Etnoantropologici</w:t>
      </w:r>
      <w:proofErr w:type="spellEnd"/>
      <w:r w:rsidRPr="00A955DC">
        <w:rPr>
          <w:rFonts w:ascii="Times New Roman" w:hAnsi="Times New Roman"/>
          <w:szCs w:val="22"/>
        </w:rPr>
        <w:t xml:space="preserve"> del Lazio</w:t>
      </w:r>
      <w:r w:rsidRPr="0056135E">
        <w:rPr>
          <w:rFonts w:ascii="Times New Roman" w:hAnsi="Times New Roman"/>
          <w:szCs w:val="22"/>
        </w:rPr>
        <w:t>, Roma 2012, pp. 181-192.</w:t>
      </w:r>
    </w:p>
    <w:p w:rsidR="00412B90" w:rsidRDefault="00412B90" w:rsidP="00412B90">
      <w:pPr>
        <w:pStyle w:val="CM1"/>
        <w:spacing w:after="60" w:line="240" w:lineRule="atLeast"/>
        <w:ind w:left="1559" w:hanging="709"/>
        <w:jc w:val="both"/>
        <w:rPr>
          <w:rFonts w:ascii="Times New Roman" w:hAnsi="Times New Roman"/>
          <w:color w:val="211D1E"/>
          <w:sz w:val="22"/>
          <w:szCs w:val="22"/>
        </w:rPr>
      </w:pPr>
      <w:r w:rsidRPr="00625D03">
        <w:rPr>
          <w:rFonts w:ascii="Times New Roman" w:hAnsi="Times New Roman"/>
          <w:i/>
          <w:szCs w:val="22"/>
        </w:rPr>
        <w:t>■</w:t>
      </w:r>
      <w:r w:rsidRPr="00625D03">
        <w:rPr>
          <w:rFonts w:ascii="Times New Roman" w:hAnsi="Times New Roman"/>
          <w:i/>
          <w:szCs w:val="22"/>
        </w:rPr>
        <w:tab/>
      </w:r>
      <w:r w:rsidRPr="00625D03">
        <w:rPr>
          <w:rFonts w:ascii="Times New Roman" w:hAnsi="Times New Roman"/>
          <w:i/>
          <w:color w:val="211D1E"/>
          <w:sz w:val="22"/>
          <w:szCs w:val="22"/>
        </w:rPr>
        <w:t>Su una presunta copia del Santo Sepolcro a Terni tra XII e XIII secolo: la chiesa di S. Salvatore. Prime considerazioni per una nuova ricerca</w:t>
      </w:r>
      <w:r>
        <w:rPr>
          <w:rFonts w:ascii="Times New Roman" w:hAnsi="Times New Roman"/>
          <w:szCs w:val="22"/>
        </w:rPr>
        <w:t xml:space="preserve">, </w:t>
      </w:r>
      <w:r w:rsidRPr="00625D03">
        <w:rPr>
          <w:rFonts w:ascii="Times New Roman" w:hAnsi="Times New Roman"/>
          <w:sz w:val="22"/>
          <w:szCs w:val="22"/>
        </w:rPr>
        <w:t>“I</w:t>
      </w:r>
      <w:r w:rsidRPr="00625D03">
        <w:rPr>
          <w:rFonts w:ascii="Times New Roman" w:hAnsi="Times New Roman"/>
          <w:color w:val="211D1E"/>
          <w:sz w:val="22"/>
          <w:szCs w:val="22"/>
        </w:rPr>
        <w:t>l Capitale culturale</w:t>
      </w:r>
      <w:r>
        <w:rPr>
          <w:rFonts w:ascii="Times New Roman" w:hAnsi="Times New Roman"/>
          <w:color w:val="211D1E"/>
          <w:sz w:val="22"/>
          <w:szCs w:val="22"/>
        </w:rPr>
        <w:t>.</w:t>
      </w:r>
      <w:r w:rsidRPr="00625D03">
        <w:rPr>
          <w:rFonts w:ascii="Times New Roman" w:hAnsi="Times New Roman"/>
          <w:color w:val="211D1E"/>
          <w:sz w:val="22"/>
          <w:szCs w:val="22"/>
        </w:rPr>
        <w:t xml:space="preserve"> </w:t>
      </w:r>
      <w:proofErr w:type="spellStart"/>
      <w:r w:rsidRPr="00625D03">
        <w:rPr>
          <w:rFonts w:ascii="Times New Roman" w:hAnsi="Times New Roman"/>
          <w:i/>
          <w:iCs/>
          <w:color w:val="211D1E"/>
          <w:sz w:val="22"/>
          <w:szCs w:val="22"/>
        </w:rPr>
        <w:t>Studies</w:t>
      </w:r>
      <w:proofErr w:type="spellEnd"/>
      <w:r w:rsidRPr="00625D03">
        <w:rPr>
          <w:rFonts w:ascii="Times New Roman" w:hAnsi="Times New Roman"/>
          <w:i/>
          <w:iCs/>
          <w:color w:val="211D1E"/>
          <w:sz w:val="22"/>
          <w:szCs w:val="22"/>
        </w:rPr>
        <w:t xml:space="preserve"> on the </w:t>
      </w:r>
      <w:proofErr w:type="spellStart"/>
      <w:r w:rsidRPr="00625D03">
        <w:rPr>
          <w:rFonts w:ascii="Times New Roman" w:hAnsi="Times New Roman"/>
          <w:i/>
          <w:iCs/>
          <w:color w:val="211D1E"/>
          <w:sz w:val="22"/>
          <w:szCs w:val="22"/>
        </w:rPr>
        <w:t>Value</w:t>
      </w:r>
      <w:proofErr w:type="spellEnd"/>
      <w:r w:rsidRPr="00625D03">
        <w:rPr>
          <w:rFonts w:ascii="Times New Roman" w:hAnsi="Times New Roman"/>
          <w:i/>
          <w:iCs/>
          <w:color w:val="211D1E"/>
          <w:sz w:val="22"/>
          <w:szCs w:val="22"/>
        </w:rPr>
        <w:t xml:space="preserve"> </w:t>
      </w:r>
      <w:proofErr w:type="spellStart"/>
      <w:r w:rsidRPr="00625D03">
        <w:rPr>
          <w:rFonts w:ascii="Times New Roman" w:hAnsi="Times New Roman"/>
          <w:i/>
          <w:iCs/>
          <w:color w:val="211D1E"/>
          <w:sz w:val="22"/>
          <w:szCs w:val="22"/>
        </w:rPr>
        <w:t>of</w:t>
      </w:r>
      <w:proofErr w:type="spellEnd"/>
      <w:r w:rsidRPr="00625D03">
        <w:rPr>
          <w:rFonts w:ascii="Times New Roman" w:hAnsi="Times New Roman"/>
          <w:i/>
          <w:iCs/>
          <w:color w:val="211D1E"/>
          <w:sz w:val="22"/>
          <w:szCs w:val="22"/>
        </w:rPr>
        <w:t xml:space="preserve"> Cultural Heritage</w:t>
      </w:r>
      <w:r w:rsidRPr="00625D03">
        <w:rPr>
          <w:rFonts w:ascii="Times New Roman" w:hAnsi="Times New Roman"/>
          <w:iCs/>
          <w:color w:val="211D1E"/>
          <w:sz w:val="22"/>
          <w:szCs w:val="22"/>
        </w:rPr>
        <w:t>”</w:t>
      </w:r>
      <w:r w:rsidRPr="00625D03">
        <w:rPr>
          <w:rFonts w:ascii="Times New Roman" w:hAnsi="Times New Roman"/>
          <w:i/>
          <w:iCs/>
          <w:color w:val="211D1E"/>
          <w:sz w:val="22"/>
          <w:szCs w:val="22"/>
        </w:rPr>
        <w:t xml:space="preserve">, </w:t>
      </w:r>
      <w:r w:rsidRPr="00625D03">
        <w:rPr>
          <w:rFonts w:ascii="Times New Roman" w:hAnsi="Times New Roman"/>
          <w:color w:val="211D1E"/>
          <w:sz w:val="22"/>
          <w:szCs w:val="22"/>
        </w:rPr>
        <w:t xml:space="preserve">7 (2013), </w:t>
      </w:r>
      <w:r>
        <w:rPr>
          <w:rFonts w:ascii="Times New Roman" w:hAnsi="Times New Roman"/>
          <w:color w:val="211D1E"/>
          <w:sz w:val="22"/>
          <w:szCs w:val="22"/>
        </w:rPr>
        <w:t>pp. 179-198.</w:t>
      </w:r>
    </w:p>
    <w:p w:rsidR="003C707A" w:rsidRDefault="003C707A" w:rsidP="003C707A">
      <w:pPr>
        <w:pStyle w:val="Risultato"/>
        <w:tabs>
          <w:tab w:val="clear" w:pos="720"/>
        </w:tabs>
        <w:ind w:left="1565" w:hanging="675"/>
        <w:rPr>
          <w:rFonts w:ascii="Times New Roman" w:hAnsi="Times New Roman"/>
          <w:szCs w:val="22"/>
        </w:rPr>
      </w:pPr>
      <w:r w:rsidRPr="00625D03">
        <w:rPr>
          <w:rFonts w:ascii="Times New Roman" w:hAnsi="Times New Roman"/>
          <w:i/>
          <w:szCs w:val="22"/>
        </w:rPr>
        <w:t>■</w:t>
      </w:r>
      <w:r>
        <w:rPr>
          <w:rFonts w:ascii="Times New Roman" w:hAnsi="Times New Roman"/>
          <w:i/>
          <w:szCs w:val="22"/>
        </w:rPr>
        <w:tab/>
      </w:r>
      <w:r w:rsidRPr="00422E8B">
        <w:rPr>
          <w:rFonts w:ascii="Times New Roman" w:hAnsi="Times New Roman"/>
          <w:i/>
          <w:szCs w:val="22"/>
        </w:rPr>
        <w:t>Rapporti e dinamiche nell'architettura romanica di Umbria e Marche: XI secolo</w:t>
      </w:r>
      <w:r w:rsidRPr="00422E8B">
        <w:rPr>
          <w:rFonts w:ascii="Times New Roman" w:hAnsi="Times New Roman"/>
          <w:szCs w:val="22"/>
        </w:rPr>
        <w:t xml:space="preserve">, in </w:t>
      </w:r>
      <w:r w:rsidRPr="00422E8B">
        <w:rPr>
          <w:rFonts w:ascii="Times New Roman" w:hAnsi="Times New Roman"/>
          <w:i/>
          <w:szCs w:val="22"/>
        </w:rPr>
        <w:t>Umbria e Marche in età romanica. Arti e tecniche a confronto tra XI e XIII secolo</w:t>
      </w:r>
      <w:r w:rsidRPr="00422E8B">
        <w:rPr>
          <w:rFonts w:ascii="Times New Roman" w:hAnsi="Times New Roman"/>
          <w:szCs w:val="22"/>
        </w:rPr>
        <w:t xml:space="preserve"> </w:t>
      </w:r>
      <w:r>
        <w:rPr>
          <w:rFonts w:ascii="Times New Roman" w:hAnsi="Times New Roman"/>
          <w:szCs w:val="22"/>
        </w:rPr>
        <w:t xml:space="preserve">(Atti del Convegno di studi, Perugia 13-14 giugno 2012), </w:t>
      </w:r>
      <w:r w:rsidRPr="00422E8B">
        <w:rPr>
          <w:rFonts w:ascii="Times New Roman" w:hAnsi="Times New Roman"/>
          <w:szCs w:val="22"/>
        </w:rPr>
        <w:t>Todi 2013, pp. 19-30.</w:t>
      </w:r>
    </w:p>
    <w:p w:rsidR="00412B90" w:rsidRDefault="00412B90" w:rsidP="00412B90">
      <w:pPr>
        <w:pStyle w:val="Risultato"/>
        <w:tabs>
          <w:tab w:val="clear" w:pos="720"/>
        </w:tabs>
        <w:ind w:left="1559" w:hanging="672"/>
        <w:rPr>
          <w:rFonts w:ascii="Times New Roman" w:hAnsi="Times New Roman"/>
          <w:i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</w:r>
      <w:r w:rsidRPr="0056135E">
        <w:rPr>
          <w:rFonts w:ascii="Times New Roman" w:hAnsi="Times New Roman"/>
          <w:i/>
        </w:rPr>
        <w:t xml:space="preserve">Dalla ‘torre di Federico II’ a Roma al mastio Annibaldi di </w:t>
      </w:r>
      <w:proofErr w:type="spellStart"/>
      <w:r w:rsidRPr="0056135E">
        <w:rPr>
          <w:rFonts w:ascii="Times New Roman" w:hAnsi="Times New Roman"/>
          <w:i/>
        </w:rPr>
        <w:t>Sermoneta</w:t>
      </w:r>
      <w:proofErr w:type="spellEnd"/>
      <w:r w:rsidRPr="0056135E">
        <w:rPr>
          <w:rFonts w:ascii="Times New Roman" w:hAnsi="Times New Roman"/>
          <w:i/>
        </w:rPr>
        <w:t xml:space="preserve">: </w:t>
      </w:r>
      <w:r>
        <w:rPr>
          <w:rFonts w:ascii="Times New Roman" w:hAnsi="Times New Roman"/>
          <w:i/>
        </w:rPr>
        <w:t xml:space="preserve">nuove proposte e </w:t>
      </w:r>
      <w:r w:rsidRPr="0056135E">
        <w:rPr>
          <w:rFonts w:ascii="Times New Roman" w:hAnsi="Times New Roman"/>
          <w:i/>
        </w:rPr>
        <w:t xml:space="preserve">riflessioni sul transito di modelli architettonici </w:t>
      </w:r>
      <w:r>
        <w:rPr>
          <w:rFonts w:ascii="Times New Roman" w:hAnsi="Times New Roman"/>
          <w:i/>
        </w:rPr>
        <w:t>nell’Urbe e verso la</w:t>
      </w:r>
      <w:r w:rsidRPr="0056135E">
        <w:rPr>
          <w:rFonts w:ascii="Times New Roman" w:hAnsi="Times New Roman"/>
          <w:i/>
        </w:rPr>
        <w:t xml:space="preserve"> Marittima</w:t>
      </w:r>
      <w:r w:rsidRPr="0056135E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“Arte medievale”, 2014, </w:t>
      </w:r>
      <w:r w:rsidRPr="0056135E">
        <w:rPr>
          <w:rFonts w:ascii="Times New Roman" w:hAnsi="Times New Roman"/>
        </w:rPr>
        <w:t>in corso di stampa</w:t>
      </w:r>
      <w:r w:rsidRPr="0056135E">
        <w:rPr>
          <w:rFonts w:ascii="Times New Roman" w:hAnsi="Times New Roman"/>
          <w:i/>
        </w:rPr>
        <w:t xml:space="preserve"> </w:t>
      </w:r>
    </w:p>
    <w:p w:rsidR="00412B90" w:rsidRPr="00412B90" w:rsidRDefault="00412B90" w:rsidP="00412B90">
      <w:pPr>
        <w:spacing w:line="240" w:lineRule="auto"/>
        <w:ind w:left="1560" w:hanging="709"/>
        <w:rPr>
          <w:rFonts w:ascii="Times New Roman" w:hAnsi="Times New Roman" w:cs="Times New Roman"/>
        </w:rPr>
      </w:pPr>
      <w:r w:rsidRPr="00412B90">
        <w:rPr>
          <w:rFonts w:ascii="Times New Roman" w:hAnsi="Times New Roman" w:cs="Times New Roman"/>
          <w:i/>
        </w:rPr>
        <w:t>■</w:t>
      </w:r>
      <w:r w:rsidRPr="00412B90">
        <w:rPr>
          <w:rFonts w:ascii="Times New Roman" w:hAnsi="Times New Roman" w:cs="Times New Roman"/>
          <w:i/>
        </w:rPr>
        <w:tab/>
        <w:t>Nuovi elementi per la fase architettonica altomedievale della cattedrale di Terracina e inedite testimonianze dell’intervento ‘</w:t>
      </w:r>
      <w:proofErr w:type="spellStart"/>
      <w:r w:rsidRPr="00412B90">
        <w:rPr>
          <w:rFonts w:ascii="Times New Roman" w:hAnsi="Times New Roman" w:cs="Times New Roman"/>
          <w:i/>
        </w:rPr>
        <w:t>desideriano</w:t>
      </w:r>
      <w:proofErr w:type="spellEnd"/>
      <w:r w:rsidRPr="00412B90">
        <w:rPr>
          <w:rFonts w:ascii="Times New Roman" w:hAnsi="Times New Roman" w:cs="Times New Roman"/>
          <w:i/>
        </w:rPr>
        <w:t>’, in La via Appia nel Medioevo da Roma a Terracina</w:t>
      </w:r>
      <w:r w:rsidRPr="00412B90">
        <w:rPr>
          <w:rFonts w:ascii="Times New Roman" w:hAnsi="Times New Roman" w:cs="Times New Roman"/>
        </w:rPr>
        <w:t>, a cura di M. Righetti, Roma 2014, in corso di stampa.</w:t>
      </w:r>
    </w:p>
    <w:p w:rsidR="00412B90" w:rsidRPr="00FF1424" w:rsidRDefault="00412B90" w:rsidP="00412B90">
      <w:pPr>
        <w:pStyle w:val="Risultato"/>
        <w:tabs>
          <w:tab w:val="clear" w:pos="720"/>
        </w:tabs>
        <w:ind w:left="1560"/>
        <w:rPr>
          <w:rFonts w:ascii="Times New Roman" w:hAnsi="Times New Roman"/>
          <w:szCs w:val="22"/>
        </w:rPr>
      </w:pPr>
    </w:p>
    <w:p w:rsidR="00412B90" w:rsidRPr="0056135E" w:rsidRDefault="00412B90" w:rsidP="00412B90">
      <w:pPr>
        <w:pStyle w:val="Risulta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720"/>
        </w:tabs>
        <w:ind w:left="480" w:firstLine="0"/>
        <w:rPr>
          <w:rFonts w:ascii="Times New Roman" w:hAnsi="Times New Roman"/>
          <w:b/>
          <w:szCs w:val="22"/>
        </w:rPr>
      </w:pPr>
      <w:r w:rsidRPr="0056135E">
        <w:rPr>
          <w:rFonts w:ascii="Times New Roman" w:hAnsi="Times New Roman"/>
          <w:b/>
          <w:smallCaps/>
          <w:szCs w:val="22"/>
        </w:rPr>
        <w:t>Voci enciclopediche, schede monografiche e recensioni</w:t>
      </w:r>
      <w:r w:rsidRPr="0056135E">
        <w:rPr>
          <w:rFonts w:ascii="Times New Roman" w:hAnsi="Times New Roman"/>
          <w:b/>
          <w:szCs w:val="22"/>
        </w:rPr>
        <w:t>: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 w:right="-426" w:hanging="672"/>
        <w:rPr>
          <w:rFonts w:ascii="Times New Roman" w:hAnsi="Times New Roman"/>
          <w:i/>
          <w:szCs w:val="22"/>
        </w:rPr>
      </w:pPr>
    </w:p>
    <w:p w:rsidR="00412B90" w:rsidRPr="0056135E" w:rsidRDefault="00412B90" w:rsidP="00412B90">
      <w:pPr>
        <w:pStyle w:val="Risultato"/>
        <w:tabs>
          <w:tab w:val="clear" w:pos="720"/>
        </w:tabs>
        <w:ind w:left="1560" w:right="-426" w:hanging="672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s.v. Cripta</w:t>
      </w:r>
      <w:r w:rsidRPr="0056135E">
        <w:rPr>
          <w:rFonts w:ascii="Times New Roman" w:hAnsi="Times New Roman"/>
          <w:szCs w:val="22"/>
        </w:rPr>
        <w:t>,</w:t>
      </w:r>
      <w:r w:rsidRPr="0056135E">
        <w:rPr>
          <w:rFonts w:ascii="Times New Roman" w:hAnsi="Times New Roman"/>
          <w:i/>
          <w:szCs w:val="22"/>
        </w:rPr>
        <w:t xml:space="preserve"> secoli 11°-14°</w:t>
      </w:r>
      <w:r w:rsidRPr="0056135E">
        <w:rPr>
          <w:rFonts w:ascii="Times New Roman" w:hAnsi="Times New Roman"/>
          <w:szCs w:val="22"/>
        </w:rPr>
        <w:t xml:space="preserve">, in </w:t>
      </w:r>
      <w:r w:rsidRPr="0056135E">
        <w:rPr>
          <w:rFonts w:ascii="Times New Roman" w:hAnsi="Times New Roman"/>
          <w:i/>
          <w:szCs w:val="22"/>
        </w:rPr>
        <w:t>Enciclopedia dell’Arte Medievale</w:t>
      </w:r>
      <w:r w:rsidRPr="0056135E">
        <w:rPr>
          <w:rFonts w:ascii="Times New Roman" w:hAnsi="Times New Roman"/>
          <w:szCs w:val="22"/>
        </w:rPr>
        <w:t>, V, Roma 1994, pp. 480-487.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 w:hanging="672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>s.v. Gaeta</w:t>
      </w:r>
      <w:r w:rsidRPr="0056135E">
        <w:rPr>
          <w:rFonts w:ascii="Times New Roman" w:hAnsi="Times New Roman"/>
          <w:szCs w:val="22"/>
        </w:rPr>
        <w:t xml:space="preserve">, in </w:t>
      </w:r>
      <w:r w:rsidRPr="0056135E">
        <w:rPr>
          <w:rFonts w:ascii="Times New Roman" w:hAnsi="Times New Roman"/>
          <w:i/>
          <w:szCs w:val="22"/>
        </w:rPr>
        <w:t>Enciclopedia dell’Arte Medievale</w:t>
      </w:r>
      <w:r w:rsidRPr="0056135E">
        <w:rPr>
          <w:rFonts w:ascii="Times New Roman" w:hAnsi="Times New Roman"/>
          <w:szCs w:val="22"/>
        </w:rPr>
        <w:t xml:space="preserve">, </w:t>
      </w:r>
      <w:proofErr w:type="spellStart"/>
      <w:r w:rsidRPr="0056135E">
        <w:rPr>
          <w:rFonts w:ascii="Times New Roman" w:hAnsi="Times New Roman"/>
          <w:szCs w:val="22"/>
        </w:rPr>
        <w:t>VI</w:t>
      </w:r>
      <w:proofErr w:type="spellEnd"/>
      <w:r w:rsidRPr="0056135E">
        <w:rPr>
          <w:rFonts w:ascii="Times New Roman" w:hAnsi="Times New Roman"/>
          <w:szCs w:val="22"/>
        </w:rPr>
        <w:t>, Roma 1995, pp. 439-442.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 w:hanging="672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  <w:t xml:space="preserve">s.v. </w:t>
      </w:r>
      <w:proofErr w:type="spellStart"/>
      <w:r w:rsidRPr="0056135E">
        <w:rPr>
          <w:rFonts w:ascii="Times New Roman" w:hAnsi="Times New Roman"/>
          <w:i/>
          <w:szCs w:val="22"/>
        </w:rPr>
        <w:t>Gisella</w:t>
      </w:r>
      <w:proofErr w:type="spellEnd"/>
      <w:r w:rsidRPr="0056135E">
        <w:rPr>
          <w:rFonts w:ascii="Times New Roman" w:hAnsi="Times New Roman"/>
          <w:i/>
          <w:szCs w:val="22"/>
        </w:rPr>
        <w:t xml:space="preserve"> di Baviera</w:t>
      </w:r>
      <w:r w:rsidRPr="0056135E">
        <w:rPr>
          <w:rFonts w:ascii="Times New Roman" w:hAnsi="Times New Roman"/>
          <w:szCs w:val="22"/>
        </w:rPr>
        <w:t xml:space="preserve">, in </w:t>
      </w:r>
      <w:r w:rsidRPr="0056135E">
        <w:rPr>
          <w:rFonts w:ascii="Times New Roman" w:hAnsi="Times New Roman"/>
          <w:i/>
          <w:szCs w:val="22"/>
        </w:rPr>
        <w:t>Enciclopedia dell’Arte Medievale</w:t>
      </w:r>
      <w:r w:rsidRPr="0056135E">
        <w:rPr>
          <w:rFonts w:ascii="Times New Roman" w:hAnsi="Times New Roman"/>
          <w:szCs w:val="22"/>
        </w:rPr>
        <w:t xml:space="preserve">, </w:t>
      </w:r>
      <w:proofErr w:type="spellStart"/>
      <w:r w:rsidRPr="0056135E">
        <w:rPr>
          <w:rFonts w:ascii="Times New Roman" w:hAnsi="Times New Roman"/>
          <w:szCs w:val="22"/>
        </w:rPr>
        <w:t>VI</w:t>
      </w:r>
      <w:proofErr w:type="spellEnd"/>
      <w:r w:rsidRPr="0056135E">
        <w:rPr>
          <w:rFonts w:ascii="Times New Roman" w:hAnsi="Times New Roman"/>
          <w:szCs w:val="22"/>
        </w:rPr>
        <w:t>, Roma 1995, pp. 776-778.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 w:hanging="672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</w:r>
      <w:r w:rsidRPr="0056135E">
        <w:rPr>
          <w:rFonts w:ascii="Times New Roman" w:hAnsi="Times New Roman"/>
          <w:szCs w:val="22"/>
        </w:rPr>
        <w:t xml:space="preserve">Schede monografiche per il volume di </w:t>
      </w:r>
      <w:r w:rsidRPr="0056135E">
        <w:rPr>
          <w:rFonts w:ascii="Times New Roman" w:hAnsi="Times New Roman"/>
          <w:smallCaps/>
          <w:szCs w:val="22"/>
        </w:rPr>
        <w:t>F. Mariano</w:t>
      </w:r>
      <w:r w:rsidRPr="0056135E">
        <w:rPr>
          <w:rFonts w:ascii="Times New Roman" w:hAnsi="Times New Roman"/>
          <w:szCs w:val="22"/>
        </w:rPr>
        <w:t xml:space="preserve">, </w:t>
      </w:r>
      <w:r w:rsidRPr="0056135E">
        <w:rPr>
          <w:rFonts w:ascii="Times New Roman" w:hAnsi="Times New Roman"/>
          <w:i/>
          <w:szCs w:val="22"/>
        </w:rPr>
        <w:t>L’Architettura nelle Marche. Dall’età classica al Liberty</w:t>
      </w:r>
      <w:r w:rsidRPr="0056135E">
        <w:rPr>
          <w:rFonts w:ascii="Times New Roman" w:hAnsi="Times New Roman"/>
          <w:szCs w:val="22"/>
        </w:rPr>
        <w:t>, Prefazione di Carlo Bo, Introduzione di Pietro Zampetti, ed. Nardini, Firenze 1995, su: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 w:firstLine="0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Cattedrale di S. Leopardo a Osimo</w:t>
      </w:r>
      <w:r w:rsidRPr="0056135E">
        <w:rPr>
          <w:rFonts w:ascii="Times New Roman" w:hAnsi="Times New Roman"/>
          <w:szCs w:val="22"/>
        </w:rPr>
        <w:t xml:space="preserve">, ivi, pp. 150-151; </w:t>
      </w:r>
      <w:r w:rsidRPr="0056135E">
        <w:rPr>
          <w:rFonts w:ascii="Times New Roman" w:hAnsi="Times New Roman"/>
          <w:i/>
          <w:szCs w:val="22"/>
        </w:rPr>
        <w:t>Cattedrale di S. Leone a San Leo</w:t>
      </w:r>
      <w:r w:rsidRPr="0056135E">
        <w:rPr>
          <w:rFonts w:ascii="Times New Roman" w:hAnsi="Times New Roman"/>
          <w:szCs w:val="22"/>
        </w:rPr>
        <w:t xml:space="preserve">, ivi, pp. 151-152; </w:t>
      </w:r>
      <w:r w:rsidRPr="0056135E">
        <w:rPr>
          <w:rFonts w:ascii="Times New Roman" w:hAnsi="Times New Roman"/>
          <w:i/>
          <w:szCs w:val="22"/>
        </w:rPr>
        <w:t>Pieve di S. Leone a San Leo</w:t>
      </w:r>
      <w:r w:rsidRPr="0056135E">
        <w:rPr>
          <w:rFonts w:ascii="Times New Roman" w:hAnsi="Times New Roman"/>
          <w:szCs w:val="22"/>
        </w:rPr>
        <w:t xml:space="preserve">, ivi, p. 152; </w:t>
      </w:r>
      <w:r w:rsidRPr="0056135E">
        <w:rPr>
          <w:rFonts w:ascii="Times New Roman" w:hAnsi="Times New Roman"/>
          <w:i/>
          <w:szCs w:val="22"/>
        </w:rPr>
        <w:t>S. Marco a Ponzano di Fermo</w:t>
      </w:r>
      <w:r w:rsidRPr="0056135E">
        <w:rPr>
          <w:rFonts w:ascii="Times New Roman" w:hAnsi="Times New Roman"/>
          <w:szCs w:val="22"/>
        </w:rPr>
        <w:t xml:space="preserve">, ivi, p. 153; </w:t>
      </w:r>
      <w:r w:rsidRPr="0056135E">
        <w:rPr>
          <w:rFonts w:ascii="Times New Roman" w:hAnsi="Times New Roman"/>
          <w:i/>
          <w:szCs w:val="22"/>
        </w:rPr>
        <w:t xml:space="preserve">S. Vincenzo al </w:t>
      </w:r>
      <w:proofErr w:type="spellStart"/>
      <w:r w:rsidRPr="0056135E">
        <w:rPr>
          <w:rFonts w:ascii="Times New Roman" w:hAnsi="Times New Roman"/>
          <w:i/>
          <w:szCs w:val="22"/>
        </w:rPr>
        <w:t>Furlo</w:t>
      </w:r>
      <w:proofErr w:type="spellEnd"/>
      <w:r w:rsidRPr="0056135E">
        <w:rPr>
          <w:rFonts w:ascii="Times New Roman" w:hAnsi="Times New Roman"/>
          <w:i/>
          <w:szCs w:val="22"/>
        </w:rPr>
        <w:t xml:space="preserve"> ad </w:t>
      </w:r>
      <w:proofErr w:type="spellStart"/>
      <w:r w:rsidRPr="0056135E">
        <w:rPr>
          <w:rFonts w:ascii="Times New Roman" w:hAnsi="Times New Roman"/>
          <w:i/>
          <w:szCs w:val="22"/>
        </w:rPr>
        <w:t>Acqualagna</w:t>
      </w:r>
      <w:proofErr w:type="spellEnd"/>
      <w:r w:rsidRPr="0056135E">
        <w:rPr>
          <w:rFonts w:ascii="Times New Roman" w:hAnsi="Times New Roman"/>
          <w:szCs w:val="22"/>
        </w:rPr>
        <w:t xml:space="preserve">, ivi, pp. 153-154; </w:t>
      </w:r>
      <w:r w:rsidRPr="0056135E">
        <w:rPr>
          <w:rFonts w:ascii="Times New Roman" w:hAnsi="Times New Roman"/>
          <w:i/>
          <w:szCs w:val="22"/>
        </w:rPr>
        <w:t>Battistero di S. Giovanni ad Ascoli Piceno</w:t>
      </w:r>
      <w:r w:rsidRPr="0056135E">
        <w:rPr>
          <w:rFonts w:ascii="Times New Roman" w:hAnsi="Times New Roman"/>
          <w:szCs w:val="22"/>
        </w:rPr>
        <w:t xml:space="preserve">, ivi, pp. 155-156; </w:t>
      </w:r>
      <w:r w:rsidRPr="0056135E">
        <w:rPr>
          <w:rFonts w:ascii="Times New Roman" w:hAnsi="Times New Roman"/>
          <w:i/>
          <w:szCs w:val="22"/>
        </w:rPr>
        <w:t xml:space="preserve">S. Giusto a San </w:t>
      </w:r>
      <w:proofErr w:type="spellStart"/>
      <w:r w:rsidRPr="0056135E">
        <w:rPr>
          <w:rFonts w:ascii="Times New Roman" w:hAnsi="Times New Roman"/>
          <w:i/>
          <w:szCs w:val="22"/>
        </w:rPr>
        <w:t>Maroto</w:t>
      </w:r>
      <w:proofErr w:type="spellEnd"/>
      <w:r w:rsidRPr="0056135E">
        <w:rPr>
          <w:rFonts w:ascii="Times New Roman" w:hAnsi="Times New Roman"/>
          <w:i/>
          <w:szCs w:val="22"/>
        </w:rPr>
        <w:t xml:space="preserve"> a </w:t>
      </w:r>
      <w:proofErr w:type="spellStart"/>
      <w:r w:rsidRPr="0056135E">
        <w:rPr>
          <w:rFonts w:ascii="Times New Roman" w:hAnsi="Times New Roman"/>
          <w:i/>
          <w:szCs w:val="22"/>
        </w:rPr>
        <w:t>Pievebovigliana</w:t>
      </w:r>
      <w:proofErr w:type="spellEnd"/>
      <w:r w:rsidRPr="0056135E">
        <w:rPr>
          <w:rFonts w:ascii="Times New Roman" w:hAnsi="Times New Roman"/>
          <w:szCs w:val="22"/>
        </w:rPr>
        <w:t xml:space="preserve">, ivi, p. 156; </w:t>
      </w:r>
      <w:r w:rsidRPr="0056135E">
        <w:rPr>
          <w:rFonts w:ascii="Times New Roman" w:hAnsi="Times New Roman"/>
          <w:i/>
          <w:szCs w:val="22"/>
        </w:rPr>
        <w:t xml:space="preserve">S. Maria a Piè di </w:t>
      </w:r>
      <w:proofErr w:type="spellStart"/>
      <w:r w:rsidRPr="0056135E">
        <w:rPr>
          <w:rFonts w:ascii="Times New Roman" w:hAnsi="Times New Roman"/>
          <w:i/>
          <w:szCs w:val="22"/>
        </w:rPr>
        <w:t>Chienti</w:t>
      </w:r>
      <w:proofErr w:type="spellEnd"/>
      <w:r w:rsidRPr="0056135E">
        <w:rPr>
          <w:rFonts w:ascii="Times New Roman" w:hAnsi="Times New Roman"/>
          <w:i/>
          <w:szCs w:val="22"/>
        </w:rPr>
        <w:t xml:space="preserve"> a </w:t>
      </w:r>
      <w:proofErr w:type="spellStart"/>
      <w:r w:rsidRPr="0056135E">
        <w:rPr>
          <w:rFonts w:ascii="Times New Roman" w:hAnsi="Times New Roman"/>
          <w:i/>
          <w:szCs w:val="22"/>
        </w:rPr>
        <w:t>Montecosaro</w:t>
      </w:r>
      <w:proofErr w:type="spellEnd"/>
      <w:r w:rsidRPr="0056135E">
        <w:rPr>
          <w:rFonts w:ascii="Times New Roman" w:hAnsi="Times New Roman"/>
          <w:szCs w:val="22"/>
        </w:rPr>
        <w:t xml:space="preserve">, ivi, pp. 156-157; </w:t>
      </w:r>
      <w:r w:rsidRPr="0056135E">
        <w:rPr>
          <w:rFonts w:ascii="Times New Roman" w:hAnsi="Times New Roman"/>
          <w:i/>
          <w:szCs w:val="22"/>
        </w:rPr>
        <w:t xml:space="preserve">S. Urbano ad </w:t>
      </w:r>
      <w:proofErr w:type="spellStart"/>
      <w:r w:rsidRPr="0056135E">
        <w:rPr>
          <w:rFonts w:ascii="Times New Roman" w:hAnsi="Times New Roman"/>
          <w:i/>
          <w:szCs w:val="22"/>
        </w:rPr>
        <w:t>Apiro</w:t>
      </w:r>
      <w:proofErr w:type="spellEnd"/>
      <w:r w:rsidRPr="0056135E">
        <w:rPr>
          <w:rFonts w:ascii="Times New Roman" w:hAnsi="Times New Roman"/>
          <w:szCs w:val="22"/>
        </w:rPr>
        <w:t xml:space="preserve">, ivi, pp. 157-158; </w:t>
      </w:r>
      <w:r w:rsidRPr="0056135E">
        <w:rPr>
          <w:rFonts w:ascii="Times New Roman" w:hAnsi="Times New Roman"/>
          <w:i/>
          <w:szCs w:val="22"/>
        </w:rPr>
        <w:t xml:space="preserve">S. Salvatore a </w:t>
      </w:r>
      <w:proofErr w:type="spellStart"/>
      <w:r w:rsidRPr="0056135E">
        <w:rPr>
          <w:rFonts w:ascii="Times New Roman" w:hAnsi="Times New Roman"/>
          <w:i/>
          <w:szCs w:val="22"/>
        </w:rPr>
        <w:t>Valdicastro</w:t>
      </w:r>
      <w:proofErr w:type="spellEnd"/>
      <w:r w:rsidRPr="0056135E">
        <w:rPr>
          <w:rFonts w:ascii="Times New Roman" w:hAnsi="Times New Roman"/>
          <w:szCs w:val="22"/>
        </w:rPr>
        <w:t xml:space="preserve">, ivi, p. 158; </w:t>
      </w:r>
      <w:r w:rsidRPr="0056135E">
        <w:rPr>
          <w:rFonts w:ascii="Times New Roman" w:hAnsi="Times New Roman"/>
          <w:i/>
          <w:szCs w:val="22"/>
        </w:rPr>
        <w:t xml:space="preserve">Abbazia di S. Maria di Chiaravalle a </w:t>
      </w:r>
      <w:proofErr w:type="spellStart"/>
      <w:r w:rsidRPr="0056135E">
        <w:rPr>
          <w:rFonts w:ascii="Times New Roman" w:hAnsi="Times New Roman"/>
          <w:i/>
          <w:szCs w:val="22"/>
        </w:rPr>
        <w:t>Fiastra</w:t>
      </w:r>
      <w:proofErr w:type="spellEnd"/>
      <w:r w:rsidRPr="0056135E">
        <w:rPr>
          <w:rFonts w:ascii="Times New Roman" w:hAnsi="Times New Roman"/>
          <w:szCs w:val="22"/>
        </w:rPr>
        <w:t xml:space="preserve">, ivi, pp. 158-160; </w:t>
      </w:r>
      <w:r w:rsidRPr="0056135E">
        <w:rPr>
          <w:rFonts w:ascii="Times New Roman" w:hAnsi="Times New Roman"/>
          <w:i/>
          <w:szCs w:val="22"/>
        </w:rPr>
        <w:t>S. Francesco a Fermo</w:t>
      </w:r>
      <w:r w:rsidRPr="0056135E">
        <w:rPr>
          <w:rFonts w:ascii="Times New Roman" w:hAnsi="Times New Roman"/>
          <w:szCs w:val="22"/>
        </w:rPr>
        <w:t xml:space="preserve">, ivi, p. 160; </w:t>
      </w:r>
      <w:r w:rsidRPr="0056135E">
        <w:rPr>
          <w:rFonts w:ascii="Times New Roman" w:hAnsi="Times New Roman"/>
          <w:i/>
          <w:szCs w:val="22"/>
        </w:rPr>
        <w:t>S. Francesco ad Ascoli</w:t>
      </w:r>
      <w:r w:rsidRPr="0056135E">
        <w:rPr>
          <w:rFonts w:ascii="Times New Roman" w:hAnsi="Times New Roman"/>
          <w:szCs w:val="22"/>
        </w:rPr>
        <w:t xml:space="preserve">, ivi, pp. 160-161; </w:t>
      </w:r>
      <w:r w:rsidRPr="0056135E">
        <w:rPr>
          <w:rFonts w:ascii="Times New Roman" w:hAnsi="Times New Roman"/>
          <w:i/>
          <w:szCs w:val="22"/>
        </w:rPr>
        <w:t xml:space="preserve">S. </w:t>
      </w:r>
      <w:proofErr w:type="spellStart"/>
      <w:r w:rsidRPr="0056135E">
        <w:rPr>
          <w:rFonts w:ascii="Times New Roman" w:hAnsi="Times New Roman"/>
          <w:i/>
          <w:szCs w:val="22"/>
        </w:rPr>
        <w:t>Esuperanzio</w:t>
      </w:r>
      <w:proofErr w:type="spellEnd"/>
      <w:r w:rsidRPr="0056135E">
        <w:rPr>
          <w:rFonts w:ascii="Times New Roman" w:hAnsi="Times New Roman"/>
          <w:i/>
          <w:szCs w:val="22"/>
        </w:rPr>
        <w:t xml:space="preserve"> a Cingoli</w:t>
      </w:r>
      <w:r w:rsidRPr="0056135E">
        <w:rPr>
          <w:rFonts w:ascii="Times New Roman" w:hAnsi="Times New Roman"/>
          <w:szCs w:val="22"/>
        </w:rPr>
        <w:t>, ivi, pp. 161.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 w:hanging="672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</w:r>
      <w:r w:rsidRPr="0056135E">
        <w:rPr>
          <w:rFonts w:ascii="Times New Roman" w:hAnsi="Times New Roman"/>
          <w:szCs w:val="22"/>
        </w:rPr>
        <w:t xml:space="preserve">Recensione al convegno </w:t>
      </w:r>
      <w:r w:rsidRPr="0056135E">
        <w:rPr>
          <w:rFonts w:ascii="Times New Roman" w:hAnsi="Times New Roman"/>
          <w:i/>
          <w:szCs w:val="22"/>
        </w:rPr>
        <w:t>Residenze papali e cardinalizie a Roma fra XII e XV secolo</w:t>
      </w:r>
      <w:r w:rsidRPr="0056135E">
        <w:rPr>
          <w:rFonts w:ascii="Times New Roman" w:hAnsi="Times New Roman"/>
          <w:szCs w:val="22"/>
        </w:rPr>
        <w:t xml:space="preserve"> (Giornata di Studio, Pisa 14 novembre 2002, Scuola Normale Superiore), in «Rivista di Storia della Chiesa in Italia», LVII, 2 (2003), pp. 547-551.</w:t>
      </w:r>
    </w:p>
    <w:p w:rsidR="00412B90" w:rsidRPr="0056135E" w:rsidRDefault="00412B90" w:rsidP="00412B90">
      <w:pPr>
        <w:pStyle w:val="Risultato"/>
        <w:tabs>
          <w:tab w:val="clear" w:pos="720"/>
        </w:tabs>
        <w:ind w:left="1560" w:hanging="672"/>
        <w:rPr>
          <w:rFonts w:ascii="Times New Roman" w:hAnsi="Times New Roman"/>
          <w:szCs w:val="22"/>
        </w:rPr>
      </w:pPr>
      <w:r w:rsidRPr="0056135E">
        <w:rPr>
          <w:rFonts w:ascii="Times New Roman" w:hAnsi="Times New Roman"/>
          <w:i/>
          <w:szCs w:val="22"/>
        </w:rPr>
        <w:t>■</w:t>
      </w:r>
      <w:r w:rsidRPr="0056135E">
        <w:rPr>
          <w:rFonts w:ascii="Times New Roman" w:hAnsi="Times New Roman"/>
          <w:i/>
          <w:szCs w:val="22"/>
        </w:rPr>
        <w:tab/>
      </w:r>
      <w:r w:rsidRPr="0056135E">
        <w:rPr>
          <w:rFonts w:ascii="Times New Roman" w:hAnsi="Times New Roman"/>
          <w:szCs w:val="22"/>
        </w:rPr>
        <w:t xml:space="preserve">Recensione al volume </w:t>
      </w:r>
      <w:proofErr w:type="spellStart"/>
      <w:r w:rsidRPr="0056135E">
        <w:rPr>
          <w:rFonts w:ascii="Times New Roman" w:hAnsi="Times New Roman"/>
          <w:i/>
          <w:szCs w:val="22"/>
        </w:rPr>
        <w:t>Itineranza</w:t>
      </w:r>
      <w:proofErr w:type="spellEnd"/>
      <w:r w:rsidRPr="0056135E">
        <w:rPr>
          <w:rFonts w:ascii="Times New Roman" w:hAnsi="Times New Roman"/>
          <w:i/>
          <w:szCs w:val="22"/>
        </w:rPr>
        <w:t xml:space="preserve"> pontificia. La mobilità della Curia papale nel Lazio (secoli XII-XIII)</w:t>
      </w:r>
      <w:r w:rsidRPr="0056135E">
        <w:rPr>
          <w:rFonts w:ascii="Times New Roman" w:hAnsi="Times New Roman"/>
          <w:szCs w:val="22"/>
        </w:rPr>
        <w:t xml:space="preserve">, a cura di Sandro </w:t>
      </w:r>
      <w:proofErr w:type="spellStart"/>
      <w:r w:rsidRPr="0056135E">
        <w:rPr>
          <w:rFonts w:ascii="Times New Roman" w:hAnsi="Times New Roman"/>
          <w:szCs w:val="22"/>
        </w:rPr>
        <w:t>Carocci</w:t>
      </w:r>
      <w:proofErr w:type="spellEnd"/>
      <w:r w:rsidRPr="0056135E">
        <w:rPr>
          <w:rFonts w:ascii="Times New Roman" w:hAnsi="Times New Roman"/>
          <w:szCs w:val="22"/>
        </w:rPr>
        <w:t xml:space="preserve"> (Nuovi studi storici, 61), Roma 2003, in «Rivista di Storia della Chiesa in Italia», LX, 2 (2006), pp. 516-518.</w:t>
      </w:r>
    </w:p>
    <w:p w:rsidR="00412B90" w:rsidRDefault="00412B90" w:rsidP="00412B90">
      <w:pPr>
        <w:pStyle w:val="Risultato"/>
        <w:tabs>
          <w:tab w:val="clear" w:pos="720"/>
        </w:tabs>
        <w:ind w:left="1560" w:hanging="672"/>
        <w:rPr>
          <w:rFonts w:ascii="Times New Roman" w:hAnsi="Times New Roman"/>
          <w:szCs w:val="22"/>
        </w:rPr>
      </w:pPr>
    </w:p>
    <w:p w:rsidR="00412B90" w:rsidRDefault="00412B90" w:rsidP="00412B90">
      <w:pPr>
        <w:pStyle w:val="Risultato"/>
        <w:tabs>
          <w:tab w:val="clear" w:pos="720"/>
        </w:tabs>
        <w:ind w:left="1560" w:hanging="672"/>
        <w:rPr>
          <w:rFonts w:ascii="Times New Roman" w:hAnsi="Times New Roman"/>
          <w:szCs w:val="22"/>
        </w:rPr>
      </w:pPr>
    </w:p>
    <w:p w:rsidR="009C61DA" w:rsidRDefault="009C61DA"/>
    <w:sectPr w:rsidR="009C61DA" w:rsidSect="006912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PKNL B+ Sabon">
    <w:altName w:val="Sabo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44B3F"/>
    <w:multiLevelType w:val="multilevel"/>
    <w:tmpl w:val="CBAE5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412B90"/>
    <w:rsid w:val="003C707A"/>
    <w:rsid w:val="00412B90"/>
    <w:rsid w:val="00691241"/>
    <w:rsid w:val="009C6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912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Risultato">
    <w:name w:val="Risultato"/>
    <w:basedOn w:val="Corpodeltesto"/>
    <w:rsid w:val="00412B90"/>
    <w:pPr>
      <w:tabs>
        <w:tab w:val="num" w:pos="720"/>
      </w:tabs>
      <w:spacing w:after="60" w:line="240" w:lineRule="atLeast"/>
      <w:ind w:left="720" w:hanging="720"/>
      <w:jc w:val="both"/>
    </w:pPr>
    <w:rPr>
      <w:rFonts w:ascii="Garamond" w:eastAsia="Times New Roman" w:hAnsi="Garamond" w:cs="Times New Roman"/>
      <w:szCs w:val="20"/>
    </w:rPr>
  </w:style>
  <w:style w:type="paragraph" w:customStyle="1" w:styleId="CM1">
    <w:name w:val="CM1"/>
    <w:basedOn w:val="Normale"/>
    <w:next w:val="Normale"/>
    <w:uiPriority w:val="99"/>
    <w:rsid w:val="00412B90"/>
    <w:pPr>
      <w:widowControl w:val="0"/>
      <w:autoSpaceDE w:val="0"/>
      <w:autoSpaceDN w:val="0"/>
      <w:adjustRightInd w:val="0"/>
      <w:spacing w:after="0" w:line="240" w:lineRule="auto"/>
    </w:pPr>
    <w:rPr>
      <w:rFonts w:ascii="CPKNL B+ Sabon" w:eastAsia="Times New Roman" w:hAnsi="CPKNL B+ Sabon" w:cs="Times New Roman"/>
      <w:sz w:val="24"/>
      <w:szCs w:val="24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412B90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12B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eteurbs.org/search~S1/t?Bollettino+della+Deputazione+di+storia+patria+per+l%27Umbri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948</Words>
  <Characters>5407</Characters>
  <Application>Microsoft Office Word</Application>
  <DocSecurity>0</DocSecurity>
  <Lines>45</Lines>
  <Paragraphs>12</Paragraphs>
  <ScaleCrop>false</ScaleCrop>
  <Company/>
  <LinksUpToDate>false</LinksUpToDate>
  <CharactersWithSpaces>6343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cippetto</dc:creator>
  <cp:keywords/>
  <dc:description/>
  <cp:lastModifiedBy>cippetto</cp:lastModifiedBy>
  <cp:revision>3</cp:revision>
  <dcterms:created xsi:type="dcterms:W3CDTF">2014-09-30T13:45:00Z</dcterms:created>
  <dcterms:modified xsi:type="dcterms:W3CDTF">2014-10-03T14:33:00Z</dcterms:modified>
</cp:coreProperties>
</file>