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2D695" w14:textId="77777777" w:rsidR="00021ECD" w:rsidRPr="006306A8" w:rsidRDefault="00021ECD" w:rsidP="009868AB">
      <w:pPr>
        <w:widowControl w:val="0"/>
        <w:tabs>
          <w:tab w:val="left" w:pos="-1134"/>
          <w:tab w:val="left" w:pos="-564"/>
          <w:tab w:val="left" w:pos="-426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923"/>
          <w:tab w:val="left" w:pos="10490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95"/>
        <w:jc w:val="center"/>
        <w:rPr>
          <w:rFonts w:ascii="Garamond" w:hAnsi="Garamond" w:cs="Garamond"/>
          <w:color w:val="4F81BD" w:themeColor="accent1"/>
          <w:sz w:val="22"/>
          <w:szCs w:val="22"/>
        </w:rPr>
      </w:pPr>
      <w:r w:rsidRPr="006306A8">
        <w:rPr>
          <w:rFonts w:ascii="Garamond" w:hAnsi="Garamond" w:cs="Garamond"/>
          <w:color w:val="4F81BD" w:themeColor="accent1"/>
          <w:sz w:val="22"/>
          <w:szCs w:val="22"/>
        </w:rPr>
        <w:t>PUBBLICAZIONI SCIENTIFICHE</w:t>
      </w:r>
    </w:p>
    <w:p w14:paraId="6E0EEAB1" w14:textId="77777777" w:rsidR="00021ECD" w:rsidRDefault="00021ECD" w:rsidP="00021ECD">
      <w:pPr>
        <w:widowControl w:val="0"/>
        <w:tabs>
          <w:tab w:val="left" w:pos="-1134"/>
          <w:tab w:val="left" w:pos="-564"/>
          <w:tab w:val="left" w:pos="-426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4D4E7CF7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-426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1. “I poteri del comandante nei confronti dell'equipaggio </w:t>
      </w:r>
      <w:proofErr w:type="gramStart"/>
      <w:r>
        <w:rPr>
          <w:rFonts w:ascii="Garamond" w:hAnsi="Garamond" w:cs="Garamond"/>
        </w:rPr>
        <w:t>ed</w:t>
      </w:r>
      <w:proofErr w:type="gramEnd"/>
      <w:r>
        <w:rPr>
          <w:rFonts w:ascii="Garamond" w:hAnsi="Garamond" w:cs="Garamond"/>
        </w:rPr>
        <w:t xml:space="preserve"> in particolare l'esercizio dello </w:t>
      </w:r>
      <w:proofErr w:type="spellStart"/>
      <w:r>
        <w:rPr>
          <w:rFonts w:ascii="Garamond" w:hAnsi="Garamond" w:cs="Garamond"/>
          <w:i/>
          <w:iCs/>
        </w:rPr>
        <w:t>jus</w:t>
      </w:r>
      <w:proofErr w:type="spellEnd"/>
      <w:r>
        <w:rPr>
          <w:rFonts w:ascii="Garamond" w:hAnsi="Garamond" w:cs="Garamond"/>
          <w:i/>
          <w:iCs/>
        </w:rPr>
        <w:t xml:space="preserve"> </w:t>
      </w:r>
      <w:proofErr w:type="spellStart"/>
      <w:r>
        <w:rPr>
          <w:rFonts w:ascii="Garamond" w:hAnsi="Garamond" w:cs="Garamond"/>
          <w:i/>
          <w:iCs/>
        </w:rPr>
        <w:t>variandi</w:t>
      </w:r>
      <w:proofErr w:type="spellEnd"/>
      <w:r>
        <w:rPr>
          <w:rFonts w:ascii="Garamond" w:hAnsi="Garamond" w:cs="Garamond"/>
          <w:i/>
          <w:iCs/>
        </w:rPr>
        <w:t xml:space="preserve"> </w:t>
      </w:r>
      <w:r>
        <w:rPr>
          <w:rFonts w:ascii="Garamond" w:hAnsi="Garamond" w:cs="Garamond"/>
        </w:rPr>
        <w:t xml:space="preserve">in ordine al servizio a bordo della nave e dell'aeromobile in tema di lavoro marittimo ed aereo”, in Studi in onore di Antonio Lefebvre D'Ovidio in occasione dei cinquant'anni del diritto della navigazione, a cura di </w:t>
      </w:r>
      <w:proofErr w:type="spellStart"/>
      <w:r>
        <w:rPr>
          <w:rFonts w:ascii="Garamond" w:hAnsi="Garamond" w:cs="Garamond"/>
        </w:rPr>
        <w:t>Elda</w:t>
      </w:r>
      <w:proofErr w:type="spellEnd"/>
      <w:r>
        <w:rPr>
          <w:rFonts w:ascii="Garamond" w:hAnsi="Garamond" w:cs="Garamond"/>
        </w:rPr>
        <w:t xml:space="preserve"> Turco </w:t>
      </w:r>
      <w:proofErr w:type="spellStart"/>
      <w:r>
        <w:rPr>
          <w:rFonts w:ascii="Garamond" w:hAnsi="Garamond" w:cs="Garamond"/>
        </w:rPr>
        <w:t>Bulgherini</w:t>
      </w:r>
      <w:proofErr w:type="spellEnd"/>
      <w:r>
        <w:rPr>
          <w:rFonts w:ascii="Garamond" w:hAnsi="Garamond" w:cs="Garamond"/>
        </w:rPr>
        <w:t xml:space="preserve">, II, Milano, Dott. A. </w:t>
      </w:r>
      <w:proofErr w:type="spellStart"/>
      <w:r>
        <w:rPr>
          <w:rFonts w:ascii="Garamond" w:hAnsi="Garamond" w:cs="Garamond"/>
        </w:rPr>
        <w:t>Giuffrè</w:t>
      </w:r>
      <w:proofErr w:type="spellEnd"/>
      <w:r>
        <w:rPr>
          <w:rFonts w:ascii="Garamond" w:hAnsi="Garamond" w:cs="Garamond"/>
        </w:rPr>
        <w:t xml:space="preserve"> editore, 1995, p. 923</w:t>
      </w:r>
      <w:r w:rsidR="00A0598B">
        <w:rPr>
          <w:rFonts w:ascii="Garamond" w:hAnsi="Garamond" w:cs="Garamond"/>
        </w:rPr>
        <w:t xml:space="preserve"> ss</w:t>
      </w:r>
      <w:r>
        <w:rPr>
          <w:rFonts w:ascii="Garamond" w:hAnsi="Garamond" w:cs="Garamond"/>
        </w:rPr>
        <w:t>.</w:t>
      </w:r>
    </w:p>
    <w:p w14:paraId="571CE286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0A2B23DF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2. “Compagnie portuali, natura giuridica dell'attività esercitata e qualifica di datore di lavoro”, nota a sentenza della Corte di Cassazione, Sez. </w:t>
      </w:r>
      <w:proofErr w:type="gramStart"/>
      <w:r>
        <w:rPr>
          <w:rFonts w:ascii="Garamond" w:hAnsi="Garamond" w:cs="Garamond"/>
        </w:rPr>
        <w:t>Lav.</w:t>
      </w:r>
      <w:proofErr w:type="gramEnd"/>
      <w:r>
        <w:rPr>
          <w:rFonts w:ascii="Garamond" w:hAnsi="Garamond" w:cs="Garamond"/>
        </w:rPr>
        <w:t xml:space="preserve">, 15 Marzo 1995, n. 2992, in Il Diritto Marittimo, Fasc. I, </w:t>
      </w:r>
      <w:r w:rsidR="00A0598B">
        <w:rPr>
          <w:rFonts w:ascii="Garamond" w:hAnsi="Garamond" w:cs="Garamond"/>
        </w:rPr>
        <w:t xml:space="preserve">1997, </w:t>
      </w:r>
      <w:r>
        <w:rPr>
          <w:rFonts w:ascii="Garamond" w:hAnsi="Garamond" w:cs="Garamond"/>
        </w:rPr>
        <w:t>p. 83</w:t>
      </w:r>
      <w:r w:rsidR="00A0598B">
        <w:rPr>
          <w:rFonts w:ascii="Garamond" w:hAnsi="Garamond" w:cs="Garamond"/>
        </w:rPr>
        <w:t xml:space="preserve"> ss</w:t>
      </w:r>
      <w:r>
        <w:rPr>
          <w:rFonts w:ascii="Garamond" w:hAnsi="Garamond" w:cs="Garamond"/>
        </w:rPr>
        <w:t>.</w:t>
      </w:r>
    </w:p>
    <w:p w14:paraId="340BD8C9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45886864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3. “Le clausole vessatorie nei contratti di viaggi turistici”, in Le clausole vessatorie nei contratti con i consumatori,</w:t>
      </w:r>
      <w:r w:rsidR="00A0598B">
        <w:rPr>
          <w:rFonts w:ascii="Garamond" w:hAnsi="Garamond" w:cs="Garamond"/>
        </w:rPr>
        <w:t xml:space="preserve"> Commentario agli articoli 1469 </w:t>
      </w:r>
      <w:r w:rsidRPr="00A0598B">
        <w:rPr>
          <w:rFonts w:ascii="Garamond" w:hAnsi="Garamond" w:cs="Garamond"/>
          <w:i/>
        </w:rPr>
        <w:t>bis</w:t>
      </w:r>
      <w:r w:rsidR="00A0598B">
        <w:rPr>
          <w:rFonts w:ascii="Garamond" w:hAnsi="Garamond" w:cs="Garamond"/>
        </w:rPr>
        <w:t xml:space="preserve"> – 1469 </w:t>
      </w:r>
      <w:proofErr w:type="spellStart"/>
      <w:r w:rsidRPr="00A0598B">
        <w:rPr>
          <w:rFonts w:ascii="Garamond" w:hAnsi="Garamond" w:cs="Garamond"/>
          <w:i/>
        </w:rPr>
        <w:t>sexies</w:t>
      </w:r>
      <w:proofErr w:type="spellEnd"/>
      <w:r>
        <w:rPr>
          <w:rFonts w:ascii="Garamond" w:hAnsi="Garamond" w:cs="Garamond"/>
        </w:rPr>
        <w:t xml:space="preserve"> del codice civile, a cura di Guido Alpa e Salvatore Patti, II, Milano, </w:t>
      </w:r>
      <w:r w:rsidR="00A0598B">
        <w:rPr>
          <w:rFonts w:ascii="Garamond" w:hAnsi="Garamond" w:cs="Garamond"/>
        </w:rPr>
        <w:t>d</w:t>
      </w:r>
      <w:r>
        <w:rPr>
          <w:rFonts w:ascii="Garamond" w:hAnsi="Garamond" w:cs="Garamond"/>
        </w:rPr>
        <w:t>o</w:t>
      </w:r>
      <w:r w:rsidR="00A0598B">
        <w:rPr>
          <w:rFonts w:ascii="Garamond" w:hAnsi="Garamond" w:cs="Garamond"/>
        </w:rPr>
        <w:t xml:space="preserve">tt. A. </w:t>
      </w:r>
      <w:proofErr w:type="spellStart"/>
      <w:r w:rsidR="00A0598B">
        <w:rPr>
          <w:rFonts w:ascii="Garamond" w:hAnsi="Garamond" w:cs="Garamond"/>
        </w:rPr>
        <w:t>Giuffrè</w:t>
      </w:r>
      <w:proofErr w:type="spellEnd"/>
      <w:r w:rsidR="00A0598B">
        <w:rPr>
          <w:rFonts w:ascii="Garamond" w:hAnsi="Garamond" w:cs="Garamond"/>
        </w:rPr>
        <w:t xml:space="preserve"> editore, 1997, p</w:t>
      </w:r>
      <w:r>
        <w:rPr>
          <w:rFonts w:ascii="Garamond" w:hAnsi="Garamond" w:cs="Garamond"/>
        </w:rPr>
        <w:t>. 831</w:t>
      </w:r>
      <w:r w:rsidR="00A0598B">
        <w:rPr>
          <w:rFonts w:ascii="Garamond" w:hAnsi="Garamond" w:cs="Garamond"/>
        </w:rPr>
        <w:t xml:space="preserve"> ss</w:t>
      </w:r>
      <w:r>
        <w:rPr>
          <w:rFonts w:ascii="Garamond" w:hAnsi="Garamond" w:cs="Garamond"/>
        </w:rPr>
        <w:t>.</w:t>
      </w:r>
    </w:p>
    <w:p w14:paraId="1D19A836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  <w:b/>
          <w:bCs/>
        </w:rPr>
      </w:pPr>
    </w:p>
    <w:p w14:paraId="7C56D7F6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proofErr w:type="gramStart"/>
      <w:r>
        <w:rPr>
          <w:rFonts w:ascii="Garamond" w:hAnsi="Garamond" w:cs="Garamond"/>
        </w:rPr>
        <w:t>4. “Riflessioni sull'art</w:t>
      </w:r>
      <w:proofErr w:type="gramEnd"/>
      <w:r>
        <w:rPr>
          <w:rFonts w:ascii="Garamond" w:hAnsi="Garamond" w:cs="Garamond"/>
        </w:rPr>
        <w:t>. 26 della Convenzione di Varsavia nei casi di perdita parziale di merci” nota a sentenza della Corte di Cassazione, Sez. I, 21 giugno 1996, n. 5768, in Il Diritto Marittimo, Fasc. I</w:t>
      </w:r>
      <w:r w:rsidR="00A0598B">
        <w:rPr>
          <w:rFonts w:ascii="Garamond" w:hAnsi="Garamond" w:cs="Garamond"/>
        </w:rPr>
        <w:t xml:space="preserve">II, 1998, </w:t>
      </w:r>
      <w:r>
        <w:rPr>
          <w:rFonts w:ascii="Garamond" w:hAnsi="Garamond" w:cs="Garamond"/>
        </w:rPr>
        <w:t>p. 685</w:t>
      </w:r>
      <w:r w:rsidR="00A0598B">
        <w:rPr>
          <w:rFonts w:ascii="Garamond" w:hAnsi="Garamond" w:cs="Garamond"/>
        </w:rPr>
        <w:t xml:space="preserve"> </w:t>
      </w:r>
      <w:proofErr w:type="gramStart"/>
      <w:r w:rsidR="00A0598B">
        <w:rPr>
          <w:rFonts w:ascii="Garamond" w:hAnsi="Garamond" w:cs="Garamond"/>
        </w:rPr>
        <w:t>ss</w:t>
      </w:r>
      <w:r>
        <w:rPr>
          <w:rFonts w:ascii="Garamond" w:hAnsi="Garamond" w:cs="Garamond"/>
        </w:rPr>
        <w:t>.</w:t>
      </w:r>
      <w:proofErr w:type="gramEnd"/>
      <w:r>
        <w:rPr>
          <w:rFonts w:ascii="Garamond" w:hAnsi="Garamond" w:cs="Garamond"/>
        </w:rPr>
        <w:t xml:space="preserve"> </w:t>
      </w:r>
    </w:p>
    <w:p w14:paraId="2AA7E8FC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06A1E5B0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7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5. “La tutela del turista e la </w:t>
      </w:r>
      <w:proofErr w:type="gramStart"/>
      <w:r>
        <w:rPr>
          <w:rFonts w:ascii="Garamond" w:hAnsi="Garamond" w:cs="Garamond"/>
        </w:rPr>
        <w:t>conflittualità</w:t>
      </w:r>
      <w:proofErr w:type="gramEnd"/>
      <w:r>
        <w:rPr>
          <w:rFonts w:ascii="Garamond" w:hAnsi="Garamond" w:cs="Garamond"/>
        </w:rPr>
        <w:t xml:space="preserve"> nel settore del turismo” in Studi in memoria d</w:t>
      </w:r>
      <w:r w:rsidR="00A0598B">
        <w:rPr>
          <w:rFonts w:ascii="Garamond" w:hAnsi="Garamond" w:cs="Garamond"/>
        </w:rPr>
        <w:t xml:space="preserve">i Maria Luisa </w:t>
      </w:r>
      <w:proofErr w:type="spellStart"/>
      <w:r w:rsidR="00A0598B">
        <w:rPr>
          <w:rFonts w:ascii="Garamond" w:hAnsi="Garamond" w:cs="Garamond"/>
        </w:rPr>
        <w:t>Corbino</w:t>
      </w:r>
      <w:proofErr w:type="spellEnd"/>
      <w:r w:rsidR="00A0598B">
        <w:rPr>
          <w:rFonts w:ascii="Garamond" w:hAnsi="Garamond" w:cs="Garamond"/>
        </w:rPr>
        <w:t xml:space="preserve">, Milano, dott. A. </w:t>
      </w:r>
      <w:proofErr w:type="spellStart"/>
      <w:r w:rsidR="00A0598B">
        <w:rPr>
          <w:rFonts w:ascii="Garamond" w:hAnsi="Garamond" w:cs="Garamond"/>
        </w:rPr>
        <w:t>Giuffrè</w:t>
      </w:r>
      <w:proofErr w:type="spellEnd"/>
      <w:r w:rsidR="00A0598B">
        <w:rPr>
          <w:rFonts w:ascii="Garamond" w:hAnsi="Garamond" w:cs="Garamond"/>
        </w:rPr>
        <w:t xml:space="preserve"> editore, 1999, </w:t>
      </w:r>
      <w:r>
        <w:rPr>
          <w:rFonts w:ascii="Garamond" w:hAnsi="Garamond" w:cs="Garamond"/>
        </w:rPr>
        <w:t>p. 637</w:t>
      </w:r>
      <w:r w:rsidR="00A0598B">
        <w:rPr>
          <w:rFonts w:ascii="Garamond" w:hAnsi="Garamond" w:cs="Garamond"/>
        </w:rPr>
        <w:t xml:space="preserve"> ss.</w:t>
      </w:r>
    </w:p>
    <w:p w14:paraId="0BF5581F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5E42662A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0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6. “Separazione di fatto e accordi patrimoniali”, in</w:t>
      </w:r>
      <w:r>
        <w:rPr>
          <w:rFonts w:ascii="Garamond" w:hAnsi="Garamond" w:cs="Garamond"/>
          <w:b/>
          <w:bCs/>
        </w:rPr>
        <w:t xml:space="preserve"> </w:t>
      </w:r>
      <w:r>
        <w:rPr>
          <w:rFonts w:ascii="Garamond" w:hAnsi="Garamond" w:cs="Garamond"/>
        </w:rPr>
        <w:t>La famiglia, Separazione dei coniugi, in Il diritto privato nella giurisprudenza, a cura di Paolo Cendo</w:t>
      </w:r>
      <w:r w:rsidR="00A0598B">
        <w:rPr>
          <w:rFonts w:ascii="Garamond" w:hAnsi="Garamond" w:cs="Garamond"/>
        </w:rPr>
        <w:t xml:space="preserve">n, Vol. V, Torino, UTET, 2000, </w:t>
      </w:r>
      <w:r>
        <w:rPr>
          <w:rFonts w:ascii="Garamond" w:hAnsi="Garamond" w:cs="Garamond"/>
        </w:rPr>
        <w:t>p. 1</w:t>
      </w:r>
      <w:r w:rsidR="00A0598B">
        <w:rPr>
          <w:rFonts w:ascii="Garamond" w:hAnsi="Garamond" w:cs="Garamond"/>
        </w:rPr>
        <w:t xml:space="preserve"> </w:t>
      </w:r>
      <w:proofErr w:type="gramStart"/>
      <w:r w:rsidR="00A0598B">
        <w:rPr>
          <w:rFonts w:ascii="Garamond" w:hAnsi="Garamond" w:cs="Garamond"/>
        </w:rPr>
        <w:t>ss.</w:t>
      </w:r>
      <w:proofErr w:type="gramEnd"/>
      <w:r w:rsidR="00A0598B">
        <w:rPr>
          <w:rFonts w:ascii="Garamond" w:hAnsi="Garamond" w:cs="Garamond"/>
        </w:rPr>
        <w:t xml:space="preserve"> </w:t>
      </w:r>
    </w:p>
    <w:p w14:paraId="34564F59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0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  <w:b/>
          <w:bCs/>
        </w:rPr>
      </w:pPr>
    </w:p>
    <w:p w14:paraId="6E2EC6FF" w14:textId="36CDC840" w:rsidR="00021ECD" w:rsidRDefault="00021ECD" w:rsidP="00305E8B">
      <w:pPr>
        <w:widowControl w:val="0"/>
        <w:tabs>
          <w:tab w:val="left" w:pos="-1134"/>
          <w:tab w:val="left" w:pos="-564"/>
          <w:tab w:val="left" w:pos="0"/>
          <w:tab w:val="left" w:pos="567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7. </w:t>
      </w:r>
      <w:r>
        <w:rPr>
          <w:rFonts w:ascii="Garamond" w:hAnsi="Garamond" w:cs="Garamond"/>
          <w:b/>
          <w:bCs/>
        </w:rPr>
        <w:t>Monografia</w:t>
      </w:r>
      <w:r>
        <w:rPr>
          <w:rFonts w:ascii="Garamond" w:hAnsi="Garamond" w:cs="Garamond"/>
        </w:rPr>
        <w:t xml:space="preserve"> dal titolo</w:t>
      </w:r>
      <w:r>
        <w:rPr>
          <w:rFonts w:ascii="Garamond" w:hAnsi="Garamond" w:cs="Garamond"/>
          <w:b/>
          <w:bCs/>
        </w:rPr>
        <w:t xml:space="preserve"> </w:t>
      </w:r>
      <w:r>
        <w:rPr>
          <w:rFonts w:ascii="Garamond" w:hAnsi="Garamond" w:cs="Garamond"/>
        </w:rPr>
        <w:t xml:space="preserve">“Il problema della responsabilità nel viaggio marittimo-aeronautico turistico”, Trieste, </w:t>
      </w:r>
      <w:proofErr w:type="gramStart"/>
      <w:r w:rsidR="00911A7A">
        <w:rPr>
          <w:rFonts w:ascii="Garamond" w:hAnsi="Garamond" w:cs="Garamond"/>
        </w:rPr>
        <w:t>E.U.T.</w:t>
      </w:r>
      <w:proofErr w:type="gramEnd"/>
      <w:r w:rsidR="00911A7A">
        <w:rPr>
          <w:rFonts w:ascii="Garamond" w:hAnsi="Garamond" w:cs="Garamond"/>
        </w:rPr>
        <w:t xml:space="preserve"> (Edizioni Università di Trieste)</w:t>
      </w:r>
      <w:r>
        <w:rPr>
          <w:rFonts w:ascii="Garamond" w:hAnsi="Garamond" w:cs="Garamond"/>
        </w:rPr>
        <w:t>, 2000.</w:t>
      </w:r>
    </w:p>
    <w:p w14:paraId="13951149" w14:textId="77777777" w:rsidR="00021ECD" w:rsidRDefault="00021ECD" w:rsidP="00305E8B">
      <w:pPr>
        <w:widowControl w:val="0"/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58C4DFAE" w14:textId="77777777" w:rsidR="00021ECD" w:rsidRDefault="00021ECD" w:rsidP="00305E8B">
      <w:pPr>
        <w:widowControl w:val="0"/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8. “Assistenza e salvataggio nel trasporto aereo”, in Il nuovo diritto aeronautico, In ricordo d</w:t>
      </w:r>
      <w:r w:rsidR="00A0598B">
        <w:rPr>
          <w:rFonts w:ascii="Garamond" w:hAnsi="Garamond" w:cs="Garamond"/>
        </w:rPr>
        <w:t xml:space="preserve">i Gabriele </w:t>
      </w:r>
      <w:proofErr w:type="spellStart"/>
      <w:r w:rsidR="00A0598B">
        <w:rPr>
          <w:rFonts w:ascii="Garamond" w:hAnsi="Garamond" w:cs="Garamond"/>
        </w:rPr>
        <w:t>Silingardi</w:t>
      </w:r>
      <w:proofErr w:type="spellEnd"/>
      <w:r w:rsidR="00A0598B">
        <w:rPr>
          <w:rFonts w:ascii="Garamond" w:hAnsi="Garamond" w:cs="Garamond"/>
        </w:rPr>
        <w:t>, Milano, d</w:t>
      </w:r>
      <w:r>
        <w:rPr>
          <w:rFonts w:ascii="Garamond" w:hAnsi="Garamond" w:cs="Garamond"/>
        </w:rPr>
        <w:t>o</w:t>
      </w:r>
      <w:r w:rsidR="00A0598B">
        <w:rPr>
          <w:rFonts w:ascii="Garamond" w:hAnsi="Garamond" w:cs="Garamond"/>
        </w:rPr>
        <w:t xml:space="preserve">tt. A. </w:t>
      </w:r>
      <w:proofErr w:type="spellStart"/>
      <w:r w:rsidR="00A0598B">
        <w:rPr>
          <w:rFonts w:ascii="Garamond" w:hAnsi="Garamond" w:cs="Garamond"/>
        </w:rPr>
        <w:t>Giuffrè</w:t>
      </w:r>
      <w:proofErr w:type="spellEnd"/>
      <w:r w:rsidR="00A0598B">
        <w:rPr>
          <w:rFonts w:ascii="Garamond" w:hAnsi="Garamond" w:cs="Garamond"/>
        </w:rPr>
        <w:t xml:space="preserve"> editore, 2002, p</w:t>
      </w:r>
      <w:r>
        <w:rPr>
          <w:rFonts w:ascii="Garamond" w:hAnsi="Garamond" w:cs="Garamond"/>
        </w:rPr>
        <w:t>. 857</w:t>
      </w:r>
      <w:r w:rsidR="00A0598B">
        <w:rPr>
          <w:rFonts w:ascii="Garamond" w:hAnsi="Garamond" w:cs="Garamond"/>
        </w:rPr>
        <w:t xml:space="preserve"> </w:t>
      </w:r>
      <w:proofErr w:type="gramStart"/>
      <w:r w:rsidR="00A0598B">
        <w:rPr>
          <w:rFonts w:ascii="Garamond" w:hAnsi="Garamond" w:cs="Garamond"/>
        </w:rPr>
        <w:t>ss.</w:t>
      </w:r>
      <w:proofErr w:type="gramEnd"/>
      <w:r>
        <w:rPr>
          <w:rFonts w:ascii="Garamond" w:hAnsi="Garamond" w:cs="Garamond"/>
        </w:rPr>
        <w:t xml:space="preserve"> </w:t>
      </w:r>
    </w:p>
    <w:p w14:paraId="13C5FEF7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2DD2FAA9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9. “Il risarcimento del danno morale nei viaggi turistici organizzati”, in Il Diri</w:t>
      </w:r>
      <w:r w:rsidR="00A0598B">
        <w:rPr>
          <w:rFonts w:ascii="Garamond" w:hAnsi="Garamond" w:cs="Garamond"/>
        </w:rPr>
        <w:t>tto Marittimo, Fasc. I, 2003, p</w:t>
      </w:r>
      <w:r>
        <w:rPr>
          <w:rFonts w:ascii="Garamond" w:hAnsi="Garamond" w:cs="Garamond"/>
        </w:rPr>
        <w:t>. 43</w:t>
      </w:r>
      <w:r w:rsidR="00A0598B">
        <w:rPr>
          <w:rFonts w:ascii="Garamond" w:hAnsi="Garamond" w:cs="Garamond"/>
        </w:rPr>
        <w:t xml:space="preserve"> </w:t>
      </w:r>
      <w:proofErr w:type="gramStart"/>
      <w:r w:rsidR="00A0598B">
        <w:rPr>
          <w:rFonts w:ascii="Garamond" w:hAnsi="Garamond" w:cs="Garamond"/>
        </w:rPr>
        <w:t>ss.</w:t>
      </w:r>
      <w:proofErr w:type="gramEnd"/>
      <w:r w:rsidR="00A0598B">
        <w:rPr>
          <w:rFonts w:ascii="Garamond" w:hAnsi="Garamond" w:cs="Garamond"/>
        </w:rPr>
        <w:t xml:space="preserve"> </w:t>
      </w:r>
    </w:p>
    <w:p w14:paraId="11E6F053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639E6C34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10. “Brevi considerazioni sulla configurazione giuridica dell’organizzatore e dell’intermediario di viaggio”, nota a sentenze della Corte di Appello Firenze 26.9.2001 e del Tribunale Firenze 25.9.2001, in Il Diritto </w:t>
      </w:r>
      <w:r w:rsidR="00A0598B">
        <w:rPr>
          <w:rFonts w:ascii="Garamond" w:hAnsi="Garamond" w:cs="Garamond"/>
        </w:rPr>
        <w:t xml:space="preserve">Marittimo, Fasc. II, 2003, </w:t>
      </w:r>
      <w:r>
        <w:rPr>
          <w:rFonts w:ascii="Garamond" w:hAnsi="Garamond" w:cs="Garamond"/>
        </w:rPr>
        <w:t>p. 519</w:t>
      </w:r>
      <w:r w:rsidR="00A0598B">
        <w:rPr>
          <w:rFonts w:ascii="Garamond" w:hAnsi="Garamond" w:cs="Garamond"/>
        </w:rPr>
        <w:t xml:space="preserve"> </w:t>
      </w:r>
      <w:proofErr w:type="gramStart"/>
      <w:r w:rsidR="00A0598B">
        <w:rPr>
          <w:rFonts w:ascii="Garamond" w:hAnsi="Garamond" w:cs="Garamond"/>
        </w:rPr>
        <w:t>ss.</w:t>
      </w:r>
      <w:proofErr w:type="gramEnd"/>
      <w:r w:rsidR="00A0598B">
        <w:rPr>
          <w:rFonts w:ascii="Garamond" w:hAnsi="Garamond" w:cs="Garamond"/>
        </w:rPr>
        <w:t xml:space="preserve"> </w:t>
      </w:r>
    </w:p>
    <w:p w14:paraId="4FA9EEBE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4538BF6C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11. “Il contratto di crociera marittima </w:t>
      </w:r>
      <w:proofErr w:type="gramStart"/>
      <w:r>
        <w:rPr>
          <w:rFonts w:ascii="Garamond" w:hAnsi="Garamond" w:cs="Garamond"/>
        </w:rPr>
        <w:t>ed</w:t>
      </w:r>
      <w:proofErr w:type="gramEnd"/>
      <w:r>
        <w:rPr>
          <w:rFonts w:ascii="Garamond" w:hAnsi="Garamond" w:cs="Garamond"/>
        </w:rPr>
        <w:t xml:space="preserve"> aerea” in I nuovi contratti nella prassi civile e commerciale, in Il diritto privato nella giurisprudenza, a cura di Paolo Cendon, Vol. VIII, Temp</w:t>
      </w:r>
      <w:r w:rsidR="00A0598B">
        <w:rPr>
          <w:rFonts w:ascii="Garamond" w:hAnsi="Garamond" w:cs="Garamond"/>
        </w:rPr>
        <w:t>o libero, Torino, UTET, 2004, p</w:t>
      </w:r>
      <w:r>
        <w:rPr>
          <w:rFonts w:ascii="Garamond" w:hAnsi="Garamond" w:cs="Garamond"/>
        </w:rPr>
        <w:t>. 206</w:t>
      </w:r>
      <w:r w:rsidR="00A0598B">
        <w:rPr>
          <w:rFonts w:ascii="Garamond" w:hAnsi="Garamond" w:cs="Garamond"/>
        </w:rPr>
        <w:t xml:space="preserve"> ss.</w:t>
      </w:r>
      <w:r>
        <w:rPr>
          <w:rFonts w:ascii="Garamond" w:hAnsi="Garamond" w:cs="Garamond"/>
        </w:rPr>
        <w:t xml:space="preserve"> </w:t>
      </w:r>
    </w:p>
    <w:p w14:paraId="2D146841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02F04D2D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12. “Il contratto di </w:t>
      </w:r>
      <w:proofErr w:type="gramStart"/>
      <w:r>
        <w:rPr>
          <w:rFonts w:ascii="Garamond" w:hAnsi="Garamond" w:cs="Garamond"/>
        </w:rPr>
        <w:t>rimessaggio</w:t>
      </w:r>
      <w:proofErr w:type="gramEnd"/>
      <w:r>
        <w:rPr>
          <w:rFonts w:ascii="Garamond" w:hAnsi="Garamond" w:cs="Garamond"/>
        </w:rPr>
        <w:t>” in I nuovi contratti nella prassi civile e commerciale, in Il diritto privato nella giurisprudenza, a cura di Paolo Cendon, Vol. VIII, Temp</w:t>
      </w:r>
      <w:r w:rsidR="00A0598B">
        <w:rPr>
          <w:rFonts w:ascii="Garamond" w:hAnsi="Garamond" w:cs="Garamond"/>
        </w:rPr>
        <w:t>o libero, Torino, UTET, 2004, p</w:t>
      </w:r>
      <w:r>
        <w:rPr>
          <w:rFonts w:ascii="Garamond" w:hAnsi="Garamond" w:cs="Garamond"/>
        </w:rPr>
        <w:t>. 328</w:t>
      </w:r>
      <w:r w:rsidR="00A0598B">
        <w:rPr>
          <w:rFonts w:ascii="Garamond" w:hAnsi="Garamond" w:cs="Garamond"/>
        </w:rPr>
        <w:t xml:space="preserve"> ss.</w:t>
      </w:r>
      <w:r>
        <w:rPr>
          <w:rFonts w:ascii="Garamond" w:hAnsi="Garamond" w:cs="Garamond"/>
        </w:rPr>
        <w:t xml:space="preserve"> </w:t>
      </w:r>
    </w:p>
    <w:p w14:paraId="57CD565E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7B7735A1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13. “Il contratto di rimorchio” in I nuovi contratti nella prassi civile e commerciale, in Il diritto privato nella giurisprudenza, a cura di Paolo Cendon, Vol. XVII, Trasporto, Torino, UTET, 2004, </w:t>
      </w:r>
      <w:r w:rsidR="00A0598B">
        <w:rPr>
          <w:rFonts w:ascii="Garamond" w:hAnsi="Garamond" w:cs="Garamond"/>
        </w:rPr>
        <w:t>p</w:t>
      </w:r>
      <w:r>
        <w:rPr>
          <w:rFonts w:ascii="Garamond" w:hAnsi="Garamond" w:cs="Garamond"/>
        </w:rPr>
        <w:t>. 423</w:t>
      </w:r>
      <w:r w:rsidR="00A0598B">
        <w:rPr>
          <w:rFonts w:ascii="Garamond" w:hAnsi="Garamond" w:cs="Garamond"/>
        </w:rPr>
        <w:t xml:space="preserve"> </w:t>
      </w:r>
      <w:proofErr w:type="gramStart"/>
      <w:r w:rsidR="00A0598B">
        <w:rPr>
          <w:rFonts w:ascii="Garamond" w:hAnsi="Garamond" w:cs="Garamond"/>
        </w:rPr>
        <w:t>ss.</w:t>
      </w:r>
      <w:proofErr w:type="gramEnd"/>
      <w:r>
        <w:rPr>
          <w:rFonts w:ascii="Garamond" w:hAnsi="Garamond" w:cs="Garamond"/>
        </w:rPr>
        <w:t xml:space="preserve"> </w:t>
      </w:r>
    </w:p>
    <w:p w14:paraId="27515E65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779F1ABC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14. “Tutela del passeggero e criteri giurisdizionali nella Convenzione di Montreal 1999”, in </w:t>
      </w:r>
      <w:proofErr w:type="gramStart"/>
      <w:r>
        <w:rPr>
          <w:rFonts w:ascii="Garamond" w:hAnsi="Garamond" w:cs="Garamond"/>
          <w:i/>
          <w:iCs/>
        </w:rPr>
        <w:t>News</w:t>
      </w:r>
      <w:proofErr w:type="gramEnd"/>
      <w:r>
        <w:rPr>
          <w:rFonts w:ascii="Garamond" w:hAnsi="Garamond" w:cs="Garamond"/>
          <w:i/>
          <w:iCs/>
        </w:rPr>
        <w:t xml:space="preserve"> </w:t>
      </w:r>
      <w:proofErr w:type="spellStart"/>
      <w:r>
        <w:rPr>
          <w:rFonts w:ascii="Garamond" w:hAnsi="Garamond" w:cs="Garamond"/>
          <w:i/>
          <w:iCs/>
        </w:rPr>
        <w:t>Letter</w:t>
      </w:r>
      <w:proofErr w:type="spellEnd"/>
      <w:r>
        <w:rPr>
          <w:rFonts w:ascii="Garamond" w:hAnsi="Garamond" w:cs="Garamond"/>
        </w:rPr>
        <w:t xml:space="preserve">, </w:t>
      </w:r>
      <w:r>
        <w:rPr>
          <w:rFonts w:ascii="Garamond" w:hAnsi="Garamond" w:cs="Garamond"/>
        </w:rPr>
        <w:lastRenderedPageBreak/>
        <w:t xml:space="preserve">Anno </w:t>
      </w:r>
      <w:r w:rsidR="00A0598B">
        <w:rPr>
          <w:rFonts w:ascii="Garamond" w:hAnsi="Garamond" w:cs="Garamond"/>
        </w:rPr>
        <w:t xml:space="preserve">III, n. 1, Gennaio/Marzo 2004, </w:t>
      </w:r>
      <w:r>
        <w:rPr>
          <w:rFonts w:ascii="Garamond" w:hAnsi="Garamond" w:cs="Garamond"/>
        </w:rPr>
        <w:t>p. 1</w:t>
      </w:r>
      <w:r w:rsidR="00A0598B">
        <w:rPr>
          <w:rFonts w:ascii="Garamond" w:hAnsi="Garamond" w:cs="Garamond"/>
        </w:rPr>
        <w:t xml:space="preserve"> ss.</w:t>
      </w:r>
    </w:p>
    <w:p w14:paraId="2DD19A88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5D220D2D" w14:textId="77777777" w:rsidR="00021ECD" w:rsidRDefault="00021ECD" w:rsidP="00305E8B">
      <w:pPr>
        <w:widowControl w:val="0"/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proofErr w:type="gramStart"/>
      <w:r>
        <w:rPr>
          <w:rFonts w:ascii="Garamond" w:hAnsi="Garamond" w:cs="Garamond"/>
        </w:rPr>
        <w:t>15. “Art</w:t>
      </w:r>
      <w:proofErr w:type="gramEnd"/>
      <w:r>
        <w:rPr>
          <w:rFonts w:ascii="Garamond" w:hAnsi="Garamond" w:cs="Garamond"/>
        </w:rPr>
        <w:t xml:space="preserve">. </w:t>
      </w:r>
      <w:proofErr w:type="gramStart"/>
      <w:r>
        <w:rPr>
          <w:rFonts w:ascii="Garamond" w:hAnsi="Garamond" w:cs="Garamond"/>
        </w:rPr>
        <w:t>94</w:t>
      </w:r>
      <w:r w:rsidR="00A0598B">
        <w:rPr>
          <w:rFonts w:ascii="Garamond" w:hAnsi="Garamond" w:cs="Garamond"/>
        </w:rPr>
        <w:t xml:space="preserve"> -</w:t>
      </w:r>
      <w:r>
        <w:rPr>
          <w:rFonts w:ascii="Garamond" w:hAnsi="Garamond" w:cs="Garamond"/>
        </w:rPr>
        <w:t xml:space="preserve"> Responsabilità per danni alla persona”, in Codice del consumo</w:t>
      </w:r>
      <w:proofErr w:type="gramEnd"/>
      <w:r>
        <w:rPr>
          <w:rFonts w:ascii="Garamond" w:hAnsi="Garamond" w:cs="Garamond"/>
        </w:rPr>
        <w:t xml:space="preserve">. Commentario, a cura di Guido Alpa e Liliana Rossi </w:t>
      </w:r>
      <w:proofErr w:type="spellStart"/>
      <w:r>
        <w:rPr>
          <w:rFonts w:ascii="Garamond" w:hAnsi="Garamond" w:cs="Garamond"/>
        </w:rPr>
        <w:t>Carleo</w:t>
      </w:r>
      <w:proofErr w:type="spellEnd"/>
      <w:r>
        <w:rPr>
          <w:rFonts w:ascii="Garamond" w:hAnsi="Garamond" w:cs="Garamond"/>
        </w:rPr>
        <w:t>, Napoli, Edizioni Scien</w:t>
      </w:r>
      <w:r w:rsidR="00A0598B">
        <w:rPr>
          <w:rFonts w:ascii="Garamond" w:hAnsi="Garamond" w:cs="Garamond"/>
        </w:rPr>
        <w:t>tifiche Italiane (ESI), 2005, p</w:t>
      </w:r>
      <w:r>
        <w:rPr>
          <w:rFonts w:ascii="Garamond" w:hAnsi="Garamond" w:cs="Garamond"/>
        </w:rPr>
        <w:t>. 620</w:t>
      </w:r>
      <w:r w:rsidR="00A0598B">
        <w:rPr>
          <w:rFonts w:ascii="Garamond" w:hAnsi="Garamond" w:cs="Garamond"/>
        </w:rPr>
        <w:t xml:space="preserve"> </w:t>
      </w:r>
      <w:proofErr w:type="gramStart"/>
      <w:r w:rsidR="00A0598B">
        <w:rPr>
          <w:rFonts w:ascii="Garamond" w:hAnsi="Garamond" w:cs="Garamond"/>
        </w:rPr>
        <w:t>ss.</w:t>
      </w:r>
      <w:proofErr w:type="gramEnd"/>
      <w:r w:rsidR="00A0598B">
        <w:rPr>
          <w:rFonts w:ascii="Garamond" w:hAnsi="Garamond" w:cs="Garamond"/>
        </w:rPr>
        <w:t xml:space="preserve"> </w:t>
      </w:r>
    </w:p>
    <w:p w14:paraId="7E6052E8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50598D22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16. “Il rimedio della quinta giurisdizione e l’efficacia sulla tutela dell’utente-consumatore”, in Studi in memoria di Elio </w:t>
      </w:r>
      <w:proofErr w:type="spellStart"/>
      <w:r>
        <w:rPr>
          <w:rFonts w:ascii="Garamond" w:hAnsi="Garamond" w:cs="Garamond"/>
        </w:rPr>
        <w:t>Fanara</w:t>
      </w:r>
      <w:proofErr w:type="spellEnd"/>
      <w:r>
        <w:rPr>
          <w:rFonts w:ascii="Garamond" w:hAnsi="Garamond" w:cs="Garamond"/>
        </w:rPr>
        <w:t xml:space="preserve">, a cura di </w:t>
      </w:r>
      <w:proofErr w:type="gramStart"/>
      <w:r>
        <w:rPr>
          <w:rFonts w:ascii="Garamond" w:hAnsi="Garamond" w:cs="Garamond"/>
        </w:rPr>
        <w:t>U.</w:t>
      </w:r>
      <w:proofErr w:type="gramEnd"/>
      <w:r>
        <w:rPr>
          <w:rFonts w:ascii="Garamond" w:hAnsi="Garamond" w:cs="Garamond"/>
        </w:rPr>
        <w:t xml:space="preserve"> La Torre – G. Morchella – F. Pellegrino – M.P. Ri</w:t>
      </w:r>
      <w:r w:rsidR="00A0598B">
        <w:rPr>
          <w:rFonts w:ascii="Garamond" w:hAnsi="Garamond" w:cs="Garamond"/>
        </w:rPr>
        <w:t xml:space="preserve">zzo – G. Vermiglio, I, Milano, dott. A. </w:t>
      </w:r>
      <w:proofErr w:type="spellStart"/>
      <w:r w:rsidR="00A0598B">
        <w:rPr>
          <w:rFonts w:ascii="Garamond" w:hAnsi="Garamond" w:cs="Garamond"/>
        </w:rPr>
        <w:t>Giuffrè</w:t>
      </w:r>
      <w:proofErr w:type="spellEnd"/>
      <w:r w:rsidR="00A0598B">
        <w:rPr>
          <w:rFonts w:ascii="Garamond" w:hAnsi="Garamond" w:cs="Garamond"/>
        </w:rPr>
        <w:t xml:space="preserve"> editore, 2006, </w:t>
      </w:r>
      <w:r>
        <w:rPr>
          <w:rFonts w:ascii="Garamond" w:hAnsi="Garamond" w:cs="Garamond"/>
        </w:rPr>
        <w:t>p. 335</w:t>
      </w:r>
      <w:r w:rsidR="00A0598B">
        <w:rPr>
          <w:rFonts w:ascii="Garamond" w:hAnsi="Garamond" w:cs="Garamond"/>
        </w:rPr>
        <w:t xml:space="preserve"> ss. </w:t>
      </w:r>
    </w:p>
    <w:p w14:paraId="16883F20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left="360" w:right="-1565"/>
        <w:jc w:val="both"/>
        <w:rPr>
          <w:rFonts w:ascii="Garamond" w:hAnsi="Garamond" w:cs="Garamond"/>
        </w:rPr>
      </w:pPr>
    </w:p>
    <w:p w14:paraId="03EA6613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0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17. “Il nuovo Testo Unico delle norme in materia turistica della Regione Marche” in </w:t>
      </w:r>
      <w:r w:rsidR="00A0598B">
        <w:rPr>
          <w:rFonts w:ascii="Garamond" w:hAnsi="Garamond" w:cs="Garamond"/>
        </w:rPr>
        <w:t xml:space="preserve">Diritto del Turismo, n.1/2007, </w:t>
      </w:r>
      <w:r>
        <w:rPr>
          <w:rFonts w:ascii="Garamond" w:hAnsi="Garamond" w:cs="Garamond"/>
        </w:rPr>
        <w:t>p. 96</w:t>
      </w:r>
      <w:r w:rsidR="00A0598B">
        <w:rPr>
          <w:rFonts w:ascii="Garamond" w:hAnsi="Garamond" w:cs="Garamond"/>
        </w:rPr>
        <w:t xml:space="preserve"> </w:t>
      </w:r>
      <w:proofErr w:type="gramStart"/>
      <w:r w:rsidR="00A0598B">
        <w:rPr>
          <w:rFonts w:ascii="Garamond" w:hAnsi="Garamond" w:cs="Garamond"/>
        </w:rPr>
        <w:t>ss.</w:t>
      </w:r>
      <w:proofErr w:type="gramEnd"/>
      <w:r>
        <w:rPr>
          <w:rFonts w:ascii="Garamond" w:hAnsi="Garamond" w:cs="Garamond"/>
        </w:rPr>
        <w:t xml:space="preserve"> </w:t>
      </w:r>
    </w:p>
    <w:p w14:paraId="525AAA43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7B42B17D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18. “L’applicazione delle </w:t>
      </w:r>
      <w:proofErr w:type="gramStart"/>
      <w:r>
        <w:rPr>
          <w:rFonts w:ascii="Garamond" w:hAnsi="Garamond" w:cs="Garamond"/>
        </w:rPr>
        <w:t>«</w:t>
      </w:r>
      <w:proofErr w:type="gramEnd"/>
      <w:r>
        <w:rPr>
          <w:rFonts w:ascii="Garamond" w:hAnsi="Garamond" w:cs="Garamond"/>
        </w:rPr>
        <w:t xml:space="preserve">COLREGS 1972» e il principio di autonomia contrattuale”, nota a sentenza </w:t>
      </w:r>
      <w:proofErr w:type="spellStart"/>
      <w:r>
        <w:rPr>
          <w:rFonts w:ascii="Garamond" w:hAnsi="Garamond" w:cs="Garamond"/>
        </w:rPr>
        <w:t>United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States</w:t>
      </w:r>
      <w:proofErr w:type="spellEnd"/>
      <w:r>
        <w:rPr>
          <w:rFonts w:ascii="Garamond" w:hAnsi="Garamond" w:cs="Garamond"/>
        </w:rPr>
        <w:t xml:space="preserve"> Court of </w:t>
      </w:r>
      <w:proofErr w:type="spellStart"/>
      <w:r>
        <w:rPr>
          <w:rFonts w:ascii="Garamond" w:hAnsi="Garamond" w:cs="Garamond"/>
        </w:rPr>
        <w:t>Appeals</w:t>
      </w:r>
      <w:proofErr w:type="spellEnd"/>
      <w:r>
        <w:rPr>
          <w:rFonts w:ascii="Garamond" w:hAnsi="Garamond" w:cs="Garamond"/>
        </w:rPr>
        <w:t>, Ninth Circuit, 8 maggio 2006, in Il Diri</w:t>
      </w:r>
      <w:r w:rsidR="00A0598B">
        <w:rPr>
          <w:rFonts w:ascii="Garamond" w:hAnsi="Garamond" w:cs="Garamond"/>
        </w:rPr>
        <w:t xml:space="preserve">tto Marittimo, Fasc. II, 2007, </w:t>
      </w:r>
      <w:r>
        <w:rPr>
          <w:rFonts w:ascii="Garamond" w:hAnsi="Garamond" w:cs="Garamond"/>
        </w:rPr>
        <w:t>p. 558</w:t>
      </w:r>
      <w:r w:rsidR="00A0598B">
        <w:rPr>
          <w:rFonts w:ascii="Garamond" w:hAnsi="Garamond" w:cs="Garamond"/>
        </w:rPr>
        <w:t xml:space="preserve"> ss.</w:t>
      </w:r>
    </w:p>
    <w:p w14:paraId="48A010DB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3FB3728E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19. </w:t>
      </w:r>
      <w:r>
        <w:rPr>
          <w:rFonts w:ascii="Garamond" w:hAnsi="Garamond" w:cs="Garamond"/>
          <w:b/>
          <w:bCs/>
        </w:rPr>
        <w:t>Monografia</w:t>
      </w:r>
      <w:r>
        <w:rPr>
          <w:rFonts w:ascii="Garamond" w:hAnsi="Garamond" w:cs="Garamond"/>
        </w:rPr>
        <w:t xml:space="preserve"> dal titolo</w:t>
      </w:r>
      <w:r>
        <w:rPr>
          <w:rFonts w:ascii="Garamond" w:hAnsi="Garamond" w:cs="Garamond"/>
          <w:b/>
          <w:bCs/>
        </w:rPr>
        <w:t xml:space="preserve"> </w:t>
      </w:r>
      <w:r>
        <w:rPr>
          <w:rFonts w:ascii="Garamond" w:hAnsi="Garamond" w:cs="Garamond"/>
        </w:rPr>
        <w:t xml:space="preserve">“Il contratto di trasporto </w:t>
      </w:r>
      <w:r w:rsidR="00A0598B">
        <w:rPr>
          <w:rFonts w:ascii="Garamond" w:hAnsi="Garamond" w:cs="Garamond"/>
        </w:rPr>
        <w:t>marittimo di persone”, Milano, d</w:t>
      </w:r>
      <w:r>
        <w:rPr>
          <w:rFonts w:ascii="Garamond" w:hAnsi="Garamond" w:cs="Garamond"/>
        </w:rPr>
        <w:t xml:space="preserve">ott. A. </w:t>
      </w:r>
      <w:proofErr w:type="spellStart"/>
      <w:r>
        <w:rPr>
          <w:rFonts w:ascii="Garamond" w:hAnsi="Garamond" w:cs="Garamond"/>
        </w:rPr>
        <w:t>Giuffrè</w:t>
      </w:r>
      <w:proofErr w:type="spellEnd"/>
      <w:r>
        <w:rPr>
          <w:rFonts w:ascii="Garamond" w:hAnsi="Garamond" w:cs="Garamond"/>
        </w:rPr>
        <w:t xml:space="preserve"> editore, 2008</w:t>
      </w:r>
      <w:r w:rsidR="00A0598B">
        <w:rPr>
          <w:rFonts w:ascii="Garamond" w:hAnsi="Garamond" w:cs="Garamond"/>
        </w:rPr>
        <w:t xml:space="preserve">. </w:t>
      </w:r>
    </w:p>
    <w:p w14:paraId="623E98FC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167FEEDD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20. “</w:t>
      </w:r>
      <w:proofErr w:type="gramStart"/>
      <w:r>
        <w:rPr>
          <w:rFonts w:ascii="Garamond" w:hAnsi="Garamond" w:cs="Garamond"/>
        </w:rPr>
        <w:t>L’</w:t>
      </w:r>
      <w:proofErr w:type="gramEnd"/>
      <w:r>
        <w:rPr>
          <w:rFonts w:ascii="Garamond" w:hAnsi="Garamond" w:cs="Garamond"/>
        </w:rPr>
        <w:t xml:space="preserve">urto di navi”, in Trattato breve di diritto marittimo, coordinato da Alfredo Antonini, III, Le obbligazioni e la responsabilità nella navigazione marittima, Milano, </w:t>
      </w:r>
      <w:r w:rsidR="00A0598B">
        <w:rPr>
          <w:rFonts w:ascii="Garamond" w:hAnsi="Garamond" w:cs="Garamond"/>
        </w:rPr>
        <w:t xml:space="preserve">dott. A. </w:t>
      </w:r>
      <w:proofErr w:type="spellStart"/>
      <w:r w:rsidR="00A0598B">
        <w:rPr>
          <w:rFonts w:ascii="Garamond" w:hAnsi="Garamond" w:cs="Garamond"/>
        </w:rPr>
        <w:t>Giuffrè</w:t>
      </w:r>
      <w:proofErr w:type="spellEnd"/>
      <w:r w:rsidR="00A0598B">
        <w:rPr>
          <w:rFonts w:ascii="Garamond" w:hAnsi="Garamond" w:cs="Garamond"/>
        </w:rPr>
        <w:t xml:space="preserve"> editore, 2010, </w:t>
      </w:r>
      <w:r>
        <w:rPr>
          <w:rFonts w:ascii="Garamond" w:hAnsi="Garamond" w:cs="Garamond"/>
        </w:rPr>
        <w:t>p. 233</w:t>
      </w:r>
      <w:r w:rsidR="00A0598B">
        <w:rPr>
          <w:rFonts w:ascii="Garamond" w:hAnsi="Garamond" w:cs="Garamond"/>
        </w:rPr>
        <w:t xml:space="preserve"> ss. </w:t>
      </w:r>
    </w:p>
    <w:p w14:paraId="44FB5CAA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7A1ED16D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proofErr w:type="gramStart"/>
      <w:r>
        <w:rPr>
          <w:rFonts w:ascii="Garamond" w:hAnsi="Garamond" w:cs="Garamond"/>
        </w:rPr>
        <w:t>21. “La Convenzione di Bruxelles del 1910 in materia di urto di navi</w:t>
      </w:r>
      <w:proofErr w:type="gramEnd"/>
      <w:r>
        <w:rPr>
          <w:rFonts w:ascii="Garamond" w:hAnsi="Garamond" w:cs="Garamond"/>
        </w:rPr>
        <w:t xml:space="preserve">. Legge applicabile e competenza giurisdizionale”, in Scritti in onore di Francesco </w:t>
      </w:r>
      <w:proofErr w:type="spellStart"/>
      <w:r>
        <w:rPr>
          <w:rFonts w:ascii="Garamond" w:hAnsi="Garamond" w:cs="Garamond"/>
        </w:rPr>
        <w:t>Berlingieri</w:t>
      </w:r>
      <w:proofErr w:type="spellEnd"/>
      <w:r>
        <w:rPr>
          <w:rFonts w:ascii="Garamond" w:hAnsi="Garamond" w:cs="Garamond"/>
        </w:rPr>
        <w:t>, Numero Speciale di Il Diritt</w:t>
      </w:r>
      <w:r w:rsidR="00A0598B">
        <w:rPr>
          <w:rFonts w:ascii="Garamond" w:hAnsi="Garamond" w:cs="Garamond"/>
        </w:rPr>
        <w:t xml:space="preserve">o Marittimo, II, Genova, 2010, </w:t>
      </w:r>
      <w:r>
        <w:rPr>
          <w:rFonts w:ascii="Garamond" w:hAnsi="Garamond" w:cs="Garamond"/>
        </w:rPr>
        <w:t>p. 798</w:t>
      </w:r>
      <w:r w:rsidR="00A0598B">
        <w:rPr>
          <w:rFonts w:ascii="Garamond" w:hAnsi="Garamond" w:cs="Garamond"/>
        </w:rPr>
        <w:t xml:space="preserve"> </w:t>
      </w:r>
      <w:proofErr w:type="gramStart"/>
      <w:r w:rsidR="00A0598B">
        <w:rPr>
          <w:rFonts w:ascii="Garamond" w:hAnsi="Garamond" w:cs="Garamond"/>
        </w:rPr>
        <w:t>ss.</w:t>
      </w:r>
      <w:proofErr w:type="gramEnd"/>
      <w:r w:rsidR="00A0598B">
        <w:rPr>
          <w:rFonts w:ascii="Garamond" w:hAnsi="Garamond" w:cs="Garamond"/>
        </w:rPr>
        <w:t xml:space="preserve"> </w:t>
      </w:r>
    </w:p>
    <w:p w14:paraId="0B55437A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610A62FB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22. “Il risarcimento del danno da sindrome da classe economica, in Rivista del Diritt</w:t>
      </w:r>
      <w:r w:rsidR="00A0598B">
        <w:rPr>
          <w:rFonts w:ascii="Garamond" w:hAnsi="Garamond" w:cs="Garamond"/>
        </w:rPr>
        <w:t xml:space="preserve">o della Navigazione, 2010, 1, </w:t>
      </w:r>
      <w:r>
        <w:rPr>
          <w:rFonts w:ascii="Garamond" w:hAnsi="Garamond" w:cs="Garamond"/>
        </w:rPr>
        <w:t>p. 384</w:t>
      </w:r>
      <w:r w:rsidR="00A0598B">
        <w:rPr>
          <w:rFonts w:ascii="Garamond" w:hAnsi="Garamond" w:cs="Garamond"/>
        </w:rPr>
        <w:t xml:space="preserve"> </w:t>
      </w:r>
      <w:proofErr w:type="gramStart"/>
      <w:r w:rsidR="00A0598B">
        <w:rPr>
          <w:rFonts w:ascii="Garamond" w:hAnsi="Garamond" w:cs="Garamond"/>
        </w:rPr>
        <w:t>ss.</w:t>
      </w:r>
      <w:proofErr w:type="gramEnd"/>
      <w:r w:rsidR="00A0598B">
        <w:rPr>
          <w:rFonts w:ascii="Garamond" w:hAnsi="Garamond" w:cs="Garamond"/>
        </w:rPr>
        <w:t xml:space="preserve"> </w:t>
      </w:r>
    </w:p>
    <w:p w14:paraId="668411D8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73AD836D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proofErr w:type="gramStart"/>
      <w:r>
        <w:rPr>
          <w:rFonts w:ascii="Garamond" w:hAnsi="Garamond" w:cs="Garamond"/>
        </w:rPr>
        <w:t>23. “Sicurezza passeggeri e trasporto marittimo</w:t>
      </w:r>
      <w:proofErr w:type="gramEnd"/>
      <w:r>
        <w:rPr>
          <w:rFonts w:ascii="Garamond" w:hAnsi="Garamond" w:cs="Garamond"/>
        </w:rPr>
        <w:t xml:space="preserve">. Il quadro normativo comunitario”, in La Sicurezza nel trasporto e nelle infrastrutture della navigazione marittima </w:t>
      </w:r>
      <w:proofErr w:type="gramStart"/>
      <w:r>
        <w:rPr>
          <w:rFonts w:ascii="Garamond" w:hAnsi="Garamond" w:cs="Garamond"/>
        </w:rPr>
        <w:t>ed</w:t>
      </w:r>
      <w:proofErr w:type="gramEnd"/>
      <w:r>
        <w:rPr>
          <w:rFonts w:ascii="Garamond" w:hAnsi="Garamond" w:cs="Garamond"/>
        </w:rPr>
        <w:t xml:space="preserve"> aerea, a cura di U. La Torre e A. L. Melania Sia, Soveria Manne</w:t>
      </w:r>
      <w:r w:rsidR="00A0598B">
        <w:rPr>
          <w:rFonts w:ascii="Garamond" w:hAnsi="Garamond" w:cs="Garamond"/>
        </w:rPr>
        <w:t xml:space="preserve">lli, </w:t>
      </w:r>
      <w:proofErr w:type="spellStart"/>
      <w:r w:rsidR="00A0598B">
        <w:rPr>
          <w:rFonts w:ascii="Garamond" w:hAnsi="Garamond" w:cs="Garamond"/>
        </w:rPr>
        <w:t>Rubbettino</w:t>
      </w:r>
      <w:proofErr w:type="spellEnd"/>
      <w:r w:rsidR="00A0598B">
        <w:rPr>
          <w:rFonts w:ascii="Garamond" w:hAnsi="Garamond" w:cs="Garamond"/>
        </w:rPr>
        <w:t xml:space="preserve"> editore, 2011, </w:t>
      </w:r>
      <w:r>
        <w:rPr>
          <w:rFonts w:ascii="Garamond" w:hAnsi="Garamond" w:cs="Garamond"/>
        </w:rPr>
        <w:t>p. 181</w:t>
      </w:r>
      <w:r w:rsidR="00A0598B">
        <w:rPr>
          <w:rFonts w:ascii="Garamond" w:hAnsi="Garamond" w:cs="Garamond"/>
        </w:rPr>
        <w:t xml:space="preserve"> ss. </w:t>
      </w:r>
    </w:p>
    <w:p w14:paraId="6297E561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7847B2F2" w14:textId="77777777" w:rsidR="00021ECD" w:rsidRDefault="00021ECD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24. “Rassegna di giurisprudenza in tema di trasporto marittimo di persone (1960-2010</w:t>
      </w:r>
      <w:proofErr w:type="gramStart"/>
      <w:r>
        <w:rPr>
          <w:rFonts w:ascii="Garamond" w:hAnsi="Garamond" w:cs="Garamond"/>
        </w:rPr>
        <w:t>)</w:t>
      </w:r>
      <w:proofErr w:type="gramEnd"/>
      <w:r>
        <w:rPr>
          <w:rFonts w:ascii="Garamond" w:hAnsi="Garamond" w:cs="Garamond"/>
        </w:rPr>
        <w:t>”, in Rivista del Dirit</w:t>
      </w:r>
      <w:r w:rsidR="00A0598B">
        <w:rPr>
          <w:rFonts w:ascii="Garamond" w:hAnsi="Garamond" w:cs="Garamond"/>
        </w:rPr>
        <w:t xml:space="preserve">to della Navigazione, 2011, 1, </w:t>
      </w:r>
      <w:r>
        <w:rPr>
          <w:rFonts w:ascii="Garamond" w:hAnsi="Garamond" w:cs="Garamond"/>
        </w:rPr>
        <w:t>p.</w:t>
      </w:r>
      <w:r w:rsidR="00A0598B">
        <w:rPr>
          <w:rFonts w:ascii="Garamond" w:hAnsi="Garamond" w:cs="Garamond"/>
        </w:rPr>
        <w:t xml:space="preserve"> </w:t>
      </w:r>
      <w:r>
        <w:rPr>
          <w:rFonts w:ascii="Garamond" w:hAnsi="Garamond" w:cs="Garamond"/>
        </w:rPr>
        <w:t>245</w:t>
      </w:r>
      <w:r w:rsidR="00A0598B">
        <w:rPr>
          <w:rFonts w:ascii="Garamond" w:hAnsi="Garamond" w:cs="Garamond"/>
        </w:rPr>
        <w:t xml:space="preserve"> ss. </w:t>
      </w:r>
    </w:p>
    <w:p w14:paraId="71A8DFA7" w14:textId="77777777" w:rsidR="00A0598B" w:rsidRDefault="00A0598B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7698FFAD" w14:textId="77777777" w:rsidR="00A0598B" w:rsidRDefault="00A0598B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25. “Il trasporto aereo di bagagli” in Rivista del Diritto della Navigazione, 2012, </w:t>
      </w:r>
      <w:proofErr w:type="gramStart"/>
      <w:r>
        <w:rPr>
          <w:rFonts w:ascii="Garamond" w:hAnsi="Garamond" w:cs="Garamond"/>
        </w:rPr>
        <w:t>2</w:t>
      </w:r>
      <w:proofErr w:type="gramEnd"/>
      <w:r>
        <w:rPr>
          <w:rFonts w:ascii="Garamond" w:hAnsi="Garamond" w:cs="Garamond"/>
        </w:rPr>
        <w:t>, p. 689 ss.</w:t>
      </w:r>
    </w:p>
    <w:p w14:paraId="76056E21" w14:textId="77777777" w:rsidR="00911A7A" w:rsidRDefault="00911A7A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</w:p>
    <w:p w14:paraId="495EE6C4" w14:textId="01CB520C" w:rsidR="00911A7A" w:rsidRDefault="00911A7A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26. </w:t>
      </w:r>
      <w:r w:rsidRPr="00911A7A">
        <w:rPr>
          <w:rFonts w:ascii="Garamond" w:hAnsi="Garamond" w:cs="Garamond"/>
          <w:b/>
        </w:rPr>
        <w:t>Monografia</w:t>
      </w:r>
      <w:r>
        <w:rPr>
          <w:rFonts w:ascii="Garamond" w:hAnsi="Garamond" w:cs="Garamond"/>
        </w:rPr>
        <w:t xml:space="preserve"> dal titolo “La tutela del passeggero nel trasporto aereo di bagagli”, Macerata, </w:t>
      </w:r>
      <w:proofErr w:type="spellStart"/>
      <w:r>
        <w:rPr>
          <w:rFonts w:ascii="Garamond" w:hAnsi="Garamond" w:cs="Garamond"/>
        </w:rPr>
        <w:t>eum</w:t>
      </w:r>
      <w:proofErr w:type="spellEnd"/>
      <w:r>
        <w:rPr>
          <w:rFonts w:ascii="Garamond" w:hAnsi="Garamond" w:cs="Garamond"/>
        </w:rPr>
        <w:t xml:space="preserve"> (edizioni università di macerata), 2013</w:t>
      </w:r>
      <w:r w:rsidR="00F874D6">
        <w:rPr>
          <w:rFonts w:ascii="Garamond" w:hAnsi="Garamond" w:cs="Garamond"/>
        </w:rPr>
        <w:t>.</w:t>
      </w:r>
      <w:r>
        <w:rPr>
          <w:rFonts w:ascii="Garamond" w:hAnsi="Garamond" w:cs="Garamond"/>
        </w:rPr>
        <w:t xml:space="preserve"> </w:t>
      </w:r>
    </w:p>
    <w:p w14:paraId="2B945ECB" w14:textId="77777777" w:rsidR="00911A7A" w:rsidRDefault="00911A7A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Times New Roman" w:hAnsi="Times New Roman" w:cs="Times New Roman"/>
          <w:iCs/>
        </w:rPr>
      </w:pPr>
    </w:p>
    <w:p w14:paraId="50B0BFBC" w14:textId="61F81308" w:rsidR="00A533F8" w:rsidRDefault="00A533F8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Times New Roman"/>
          <w:iCs/>
        </w:rPr>
      </w:pPr>
      <w:proofErr w:type="gramStart"/>
      <w:r w:rsidRPr="0098392C">
        <w:rPr>
          <w:rFonts w:ascii="Garamond" w:hAnsi="Garamond" w:cs="Times New Roman"/>
          <w:iCs/>
        </w:rPr>
        <w:t>27. “I controlli sui passeggeri e sui bagagli negli aeroporti</w:t>
      </w:r>
      <w:proofErr w:type="gramEnd"/>
      <w:r w:rsidRPr="0098392C">
        <w:rPr>
          <w:rFonts w:ascii="Garamond" w:hAnsi="Garamond" w:cs="Times New Roman"/>
          <w:iCs/>
        </w:rPr>
        <w:t xml:space="preserve">. Sicurezza, segretezza e trasparenza”, in Infrastrutture e navigazione: Nuovi profili della sicurezza marittima </w:t>
      </w:r>
      <w:proofErr w:type="gramStart"/>
      <w:r w:rsidRPr="0098392C">
        <w:rPr>
          <w:rFonts w:ascii="Garamond" w:hAnsi="Garamond" w:cs="Times New Roman"/>
          <w:iCs/>
        </w:rPr>
        <w:t>ed</w:t>
      </w:r>
      <w:proofErr w:type="gramEnd"/>
      <w:r w:rsidRPr="0098392C">
        <w:rPr>
          <w:rFonts w:ascii="Garamond" w:hAnsi="Garamond" w:cs="Times New Roman"/>
          <w:iCs/>
        </w:rPr>
        <w:t xml:space="preserve"> aerea, a cura di </w:t>
      </w:r>
      <w:proofErr w:type="spellStart"/>
      <w:r w:rsidRPr="0098392C">
        <w:rPr>
          <w:rFonts w:ascii="Garamond" w:hAnsi="Garamond" w:cs="Times New Roman"/>
          <w:iCs/>
        </w:rPr>
        <w:t>Elda</w:t>
      </w:r>
      <w:proofErr w:type="spellEnd"/>
      <w:r w:rsidRPr="0098392C">
        <w:rPr>
          <w:rFonts w:ascii="Garamond" w:hAnsi="Garamond" w:cs="Times New Roman"/>
          <w:iCs/>
        </w:rPr>
        <w:t xml:space="preserve"> Turco </w:t>
      </w:r>
      <w:proofErr w:type="spellStart"/>
      <w:r w:rsidRPr="0098392C">
        <w:rPr>
          <w:rFonts w:ascii="Garamond" w:hAnsi="Garamond" w:cs="Times New Roman"/>
          <w:iCs/>
        </w:rPr>
        <w:t>Bulgherini</w:t>
      </w:r>
      <w:proofErr w:type="spellEnd"/>
      <w:r w:rsidRPr="0098392C">
        <w:rPr>
          <w:rFonts w:ascii="Garamond" w:hAnsi="Garamond" w:cs="Times New Roman"/>
          <w:iCs/>
        </w:rPr>
        <w:t xml:space="preserve"> e Francesca Salerno, </w:t>
      </w:r>
      <w:proofErr w:type="spellStart"/>
      <w:r w:rsidRPr="0098392C">
        <w:rPr>
          <w:rFonts w:ascii="Garamond" w:hAnsi="Garamond" w:cs="Times New Roman"/>
          <w:iCs/>
        </w:rPr>
        <w:t>Aracne</w:t>
      </w:r>
      <w:proofErr w:type="spellEnd"/>
      <w:r w:rsidRPr="0098392C">
        <w:rPr>
          <w:rFonts w:ascii="Garamond" w:hAnsi="Garamond" w:cs="Times New Roman"/>
          <w:iCs/>
        </w:rPr>
        <w:t xml:space="preserve"> editrice, Roma, 2013, p. 147 ss.   </w:t>
      </w:r>
    </w:p>
    <w:p w14:paraId="23DB9CE6" w14:textId="77777777" w:rsidR="00013AAA" w:rsidRDefault="00013AAA" w:rsidP="00305E8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Times New Roman"/>
          <w:iCs/>
        </w:rPr>
      </w:pPr>
    </w:p>
    <w:p w14:paraId="66959358" w14:textId="08EEFB26" w:rsidR="00021ECD" w:rsidRPr="009868AB" w:rsidRDefault="00013AAA" w:rsidP="009868AB">
      <w:pPr>
        <w:widowControl w:val="0"/>
        <w:tabs>
          <w:tab w:val="left" w:pos="-1134"/>
          <w:tab w:val="left" w:pos="-564"/>
          <w:tab w:val="left" w:pos="1"/>
          <w:tab w:val="left" w:pos="564"/>
          <w:tab w:val="left" w:pos="1128"/>
          <w:tab w:val="left" w:pos="1698"/>
          <w:tab w:val="left" w:pos="2262"/>
          <w:tab w:val="left" w:pos="2826"/>
          <w:tab w:val="left" w:pos="3396"/>
          <w:tab w:val="left" w:pos="3960"/>
          <w:tab w:val="left" w:pos="4530"/>
          <w:tab w:val="left" w:pos="5094"/>
          <w:tab w:val="left" w:pos="5658"/>
          <w:tab w:val="left" w:pos="6228"/>
          <w:tab w:val="left" w:pos="6792"/>
          <w:tab w:val="left" w:pos="7362"/>
          <w:tab w:val="left" w:pos="7926"/>
          <w:tab w:val="left" w:pos="8490"/>
          <w:tab w:val="left" w:pos="9060"/>
          <w:tab w:val="left" w:pos="9624"/>
          <w:tab w:val="left" w:pos="10194"/>
          <w:tab w:val="left" w:pos="10758"/>
          <w:tab w:val="left" w:pos="11322"/>
          <w:tab w:val="left" w:pos="11892"/>
          <w:tab w:val="left" w:pos="12456"/>
          <w:tab w:val="left" w:pos="13026"/>
          <w:tab w:val="left" w:pos="13590"/>
          <w:tab w:val="left" w:pos="14154"/>
          <w:tab w:val="left" w:pos="14724"/>
          <w:tab w:val="left" w:pos="15288"/>
          <w:tab w:val="left" w:pos="15858"/>
          <w:tab w:val="left" w:pos="16422"/>
          <w:tab w:val="left" w:pos="16986"/>
          <w:tab w:val="left" w:pos="17556"/>
          <w:tab w:val="left" w:pos="18120"/>
          <w:tab w:val="left" w:pos="18690"/>
          <w:tab w:val="left" w:pos="19254"/>
          <w:tab w:val="left" w:pos="19818"/>
          <w:tab w:val="left" w:pos="20388"/>
          <w:tab w:val="left" w:pos="20952"/>
        </w:tabs>
        <w:autoSpaceDE w:val="0"/>
        <w:autoSpaceDN w:val="0"/>
        <w:adjustRightInd w:val="0"/>
        <w:ind w:right="-1565"/>
        <w:jc w:val="both"/>
        <w:rPr>
          <w:rFonts w:ascii="Garamond" w:hAnsi="Garamond" w:cs="Times New Roman"/>
          <w:iCs/>
        </w:rPr>
      </w:pPr>
      <w:r>
        <w:rPr>
          <w:rFonts w:ascii="Garamond" w:hAnsi="Garamond" w:cs="Times New Roman"/>
          <w:iCs/>
        </w:rPr>
        <w:t xml:space="preserve">28. “La sicurezza delle navi passeggeri”, in Sicurezza e libertà nell’esercizio della navigazione, a cura di Maria Piera Rizzo e Cinzia </w:t>
      </w:r>
      <w:proofErr w:type="spellStart"/>
      <w:r>
        <w:rPr>
          <w:rFonts w:ascii="Garamond" w:hAnsi="Garamond" w:cs="Times New Roman"/>
          <w:iCs/>
        </w:rPr>
        <w:t>Ingratoci</w:t>
      </w:r>
      <w:proofErr w:type="spellEnd"/>
      <w:r>
        <w:rPr>
          <w:rFonts w:ascii="Garamond" w:hAnsi="Garamond" w:cs="Times New Roman"/>
          <w:iCs/>
        </w:rPr>
        <w:t xml:space="preserve">, </w:t>
      </w:r>
      <w:proofErr w:type="spellStart"/>
      <w:r>
        <w:rPr>
          <w:rFonts w:ascii="Garamond" w:hAnsi="Garamond" w:cs="Times New Roman"/>
          <w:iCs/>
        </w:rPr>
        <w:t>Giuffrè</w:t>
      </w:r>
      <w:proofErr w:type="spellEnd"/>
      <w:r>
        <w:rPr>
          <w:rFonts w:ascii="Garamond" w:hAnsi="Garamond" w:cs="Times New Roman"/>
          <w:iCs/>
        </w:rPr>
        <w:t xml:space="preserve"> ed</w:t>
      </w:r>
      <w:r w:rsidR="009868AB">
        <w:rPr>
          <w:rFonts w:ascii="Garamond" w:hAnsi="Garamond" w:cs="Times New Roman"/>
          <w:iCs/>
        </w:rPr>
        <w:t>itore, Milano, 2014, p. 113 ss.</w:t>
      </w:r>
    </w:p>
    <w:p w14:paraId="05BE66AC" w14:textId="041C1A8A" w:rsidR="00A4435C" w:rsidRPr="009868AB" w:rsidRDefault="009868AB" w:rsidP="009868AB">
      <w:pPr>
        <w:widowControl w:val="0"/>
        <w:autoSpaceDE w:val="0"/>
        <w:autoSpaceDN w:val="0"/>
        <w:adjustRightInd w:val="0"/>
        <w:ind w:left="7080" w:right="-1565" w:firstLine="708"/>
        <w:rPr>
          <w:rFonts w:ascii="Garamond" w:hAnsi="Garamond" w:cs="Times New Roman"/>
          <w:b/>
          <w:bCs/>
          <w:sz w:val="20"/>
          <w:szCs w:val="20"/>
        </w:rPr>
      </w:pPr>
      <w:r>
        <w:rPr>
          <w:rFonts w:ascii="Garamond" w:hAnsi="Garamond" w:cs="Arial"/>
          <w:i/>
          <w:iCs/>
          <w:sz w:val="16"/>
          <w:szCs w:val="16"/>
        </w:rPr>
        <w:t xml:space="preserve">             </w:t>
      </w:r>
      <w:r w:rsidR="00911A7A" w:rsidRPr="0098392C">
        <w:rPr>
          <w:rFonts w:ascii="Garamond" w:hAnsi="Garamond" w:cs="Arial"/>
          <w:i/>
          <w:iCs/>
          <w:sz w:val="16"/>
          <w:szCs w:val="16"/>
        </w:rPr>
        <w:t xml:space="preserve">Aggiornamento: </w:t>
      </w:r>
      <w:r>
        <w:rPr>
          <w:rFonts w:ascii="Garamond" w:hAnsi="Garamond" w:cs="Arial"/>
          <w:i/>
          <w:iCs/>
          <w:sz w:val="16"/>
          <w:szCs w:val="16"/>
        </w:rPr>
        <w:t>aprile 2014</w:t>
      </w:r>
      <w:bookmarkStart w:id="0" w:name="_GoBack"/>
      <w:bookmarkEnd w:id="0"/>
    </w:p>
    <w:sectPr w:rsidR="00A4435C" w:rsidRPr="009868AB" w:rsidSect="00937E54">
      <w:pgSz w:w="12240" w:h="15840"/>
      <w:pgMar w:top="1418" w:right="2835" w:bottom="1134" w:left="107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ECD"/>
    <w:rsid w:val="00013AAA"/>
    <w:rsid w:val="00021ECD"/>
    <w:rsid w:val="002339FD"/>
    <w:rsid w:val="00305E8B"/>
    <w:rsid w:val="006306A8"/>
    <w:rsid w:val="00662149"/>
    <w:rsid w:val="00911A7A"/>
    <w:rsid w:val="00937E54"/>
    <w:rsid w:val="0098392C"/>
    <w:rsid w:val="009868AB"/>
    <w:rsid w:val="00A0598B"/>
    <w:rsid w:val="00A4435C"/>
    <w:rsid w:val="00A533F8"/>
    <w:rsid w:val="00DE611F"/>
    <w:rsid w:val="00F8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9A9142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858</Words>
  <Characters>4897</Characters>
  <Application>Microsoft Macintosh Word</Application>
  <DocSecurity>0</DocSecurity>
  <Lines>40</Lines>
  <Paragraphs>11</Paragraphs>
  <ScaleCrop>false</ScaleCrop>
  <Company/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Stefano</cp:lastModifiedBy>
  <cp:revision>12</cp:revision>
  <dcterms:created xsi:type="dcterms:W3CDTF">2013-06-04T16:07:00Z</dcterms:created>
  <dcterms:modified xsi:type="dcterms:W3CDTF">2014-04-24T09:46:00Z</dcterms:modified>
</cp:coreProperties>
</file>